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411ED" w14:textId="6DB7E8B3" w:rsidR="00BB138F" w:rsidRDefault="00772223" w:rsidP="00D50524">
      <w:pPr>
        <w:spacing w:after="0" w:line="240" w:lineRule="auto"/>
        <w:rPr>
          <w:rFonts w:ascii="Garamond" w:hAnsi="Garamond"/>
          <w:b/>
          <w:bCs/>
          <w:sz w:val="24"/>
          <w:szCs w:val="24"/>
        </w:rPr>
      </w:pPr>
      <w:bookmarkStart w:id="0" w:name="_GoBack"/>
      <w:bookmarkEnd w:id="0"/>
      <w:r>
        <w:rPr>
          <w:noProof/>
        </w:rPr>
        <mc:AlternateContent>
          <mc:Choice Requires="wps">
            <w:drawing>
              <wp:anchor distT="45720" distB="45720" distL="114300" distR="114300" simplePos="0" relativeHeight="251659264" behindDoc="0" locked="0" layoutInCell="1" allowOverlap="1" wp14:anchorId="4F4CB176" wp14:editId="682DFFFC">
                <wp:simplePos x="0" y="0"/>
                <wp:positionH relativeFrom="margin">
                  <wp:align>center</wp:align>
                </wp:positionH>
                <wp:positionV relativeFrom="paragraph">
                  <wp:posOffset>19050</wp:posOffset>
                </wp:positionV>
                <wp:extent cx="5815965" cy="2129790"/>
                <wp:effectExtent l="19050" t="19050" r="13335" b="228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5965" cy="2129790"/>
                        </a:xfrm>
                        <a:prstGeom prst="rect">
                          <a:avLst/>
                        </a:prstGeom>
                        <a:solidFill>
                          <a:srgbClr val="FFFFFF"/>
                        </a:solidFill>
                        <a:ln w="28575">
                          <a:solidFill>
                            <a:srgbClr val="000000"/>
                          </a:solidFill>
                          <a:miter lim="800000"/>
                          <a:headEnd/>
                          <a:tailEnd/>
                        </a:ln>
                      </wps:spPr>
                      <wps:txbx>
                        <w:txbxContent>
                          <w:p w14:paraId="2247A654" w14:textId="77777777" w:rsidR="00613FA9" w:rsidRDefault="00613FA9" w:rsidP="00772223">
                            <w:pPr>
                              <w:shd w:val="clear" w:color="auto" w:fill="E8E8E8" w:themeFill="background2"/>
                              <w:spacing w:after="0" w:line="240" w:lineRule="auto"/>
                              <w:jc w:val="center"/>
                              <w:rPr>
                                <w:rFonts w:ascii="Garamond" w:hAnsi="Garamond"/>
                                <w:b/>
                                <w:bCs/>
                                <w:sz w:val="36"/>
                                <w:szCs w:val="36"/>
                              </w:rPr>
                            </w:pPr>
                          </w:p>
                          <w:p w14:paraId="7505CD3F" w14:textId="4CDBAB4E" w:rsidR="00772223" w:rsidRPr="00772223" w:rsidRDefault="00772223" w:rsidP="00772223">
                            <w:pPr>
                              <w:shd w:val="clear" w:color="auto" w:fill="E8E8E8" w:themeFill="background2"/>
                              <w:spacing w:after="0" w:line="240" w:lineRule="auto"/>
                              <w:jc w:val="center"/>
                              <w:rPr>
                                <w:rFonts w:ascii="Garamond" w:hAnsi="Garamond"/>
                                <w:b/>
                                <w:bCs/>
                                <w:sz w:val="36"/>
                                <w:szCs w:val="36"/>
                              </w:rPr>
                            </w:pPr>
                            <w:r w:rsidRPr="00772223">
                              <w:rPr>
                                <w:rFonts w:ascii="Garamond" w:hAnsi="Garamond"/>
                                <w:b/>
                                <w:bCs/>
                                <w:sz w:val="36"/>
                                <w:szCs w:val="36"/>
                              </w:rPr>
                              <w:t>CURSO 2025-2026</w:t>
                            </w:r>
                          </w:p>
                          <w:p w14:paraId="7A9FF2DA" w14:textId="77777777" w:rsidR="00772223" w:rsidRPr="00772223" w:rsidRDefault="00772223" w:rsidP="00772223">
                            <w:pPr>
                              <w:shd w:val="clear" w:color="auto" w:fill="E8E8E8" w:themeFill="background2"/>
                              <w:spacing w:after="0" w:line="240" w:lineRule="auto"/>
                              <w:jc w:val="center"/>
                              <w:rPr>
                                <w:rFonts w:ascii="Garamond" w:hAnsi="Garamond"/>
                                <w:b/>
                                <w:bCs/>
                                <w:sz w:val="24"/>
                                <w:szCs w:val="24"/>
                              </w:rPr>
                            </w:pPr>
                          </w:p>
                          <w:p w14:paraId="653496E5" w14:textId="0E169C90" w:rsidR="00772223" w:rsidRPr="00772223" w:rsidRDefault="000720EA" w:rsidP="00772223">
                            <w:pPr>
                              <w:shd w:val="clear" w:color="auto" w:fill="E8E8E8" w:themeFill="background2"/>
                              <w:spacing w:after="0" w:line="240" w:lineRule="auto"/>
                              <w:jc w:val="center"/>
                              <w:rPr>
                                <w:rFonts w:ascii="Garamond" w:hAnsi="Garamond"/>
                                <w:b/>
                                <w:bCs/>
                                <w:sz w:val="24"/>
                                <w:szCs w:val="24"/>
                              </w:rPr>
                            </w:pPr>
                            <w:r>
                              <w:rPr>
                                <w:rFonts w:ascii="Garamond" w:hAnsi="Garamond"/>
                                <w:b/>
                                <w:bCs/>
                                <w:sz w:val="24"/>
                                <w:szCs w:val="24"/>
                              </w:rPr>
                              <w:t>RELACIONES EXTERIORES DE LA UNIÓN EUROPEA</w:t>
                            </w:r>
                          </w:p>
                          <w:p w14:paraId="2D8DB937" w14:textId="75E2D118" w:rsidR="00772223" w:rsidRPr="00FB7E07" w:rsidRDefault="00FB7E07" w:rsidP="00772223">
                            <w:pPr>
                              <w:shd w:val="clear" w:color="auto" w:fill="E8E8E8" w:themeFill="background2"/>
                              <w:spacing w:after="0" w:line="240" w:lineRule="auto"/>
                              <w:jc w:val="center"/>
                              <w:rPr>
                                <w:rFonts w:ascii="Garamond" w:hAnsi="Garamond"/>
                                <w:b/>
                                <w:bCs/>
                                <w:sz w:val="24"/>
                                <w:szCs w:val="24"/>
                                <w:lang w:val="pt-PT"/>
                              </w:rPr>
                            </w:pPr>
                            <w:r w:rsidRPr="00FB7E07">
                              <w:rPr>
                                <w:rFonts w:ascii="Garamond" w:hAnsi="Garamond"/>
                                <w:b/>
                                <w:bCs/>
                                <w:sz w:val="24"/>
                                <w:szCs w:val="24"/>
                                <w:lang w:val="pt-PT"/>
                              </w:rPr>
                              <w:t>CÓDIGOS A</w:t>
                            </w:r>
                            <w:r>
                              <w:rPr>
                                <w:rFonts w:ascii="Garamond" w:hAnsi="Garamond"/>
                                <w:b/>
                                <w:bCs/>
                                <w:sz w:val="24"/>
                                <w:szCs w:val="24"/>
                                <w:lang w:val="pt-PT"/>
                              </w:rPr>
                              <w:t>SIGNATURA: 900966 - 802588</w:t>
                            </w:r>
                          </w:p>
                          <w:p w14:paraId="31074DA5" w14:textId="410965AA" w:rsidR="00772223" w:rsidRPr="00613FA9" w:rsidRDefault="00772223" w:rsidP="00772223">
                            <w:pPr>
                              <w:shd w:val="clear" w:color="auto" w:fill="E8E8E8" w:themeFill="background2"/>
                              <w:spacing w:after="0" w:line="240" w:lineRule="auto"/>
                              <w:jc w:val="center"/>
                              <w:rPr>
                                <w:rFonts w:ascii="Garamond" w:hAnsi="Garamond"/>
                                <w:b/>
                                <w:bCs/>
                                <w:sz w:val="24"/>
                                <w:szCs w:val="24"/>
                                <w:lang w:val="pt-PT"/>
                              </w:rPr>
                            </w:pPr>
                            <w:r w:rsidRPr="00FB7E07">
                              <w:rPr>
                                <w:rFonts w:ascii="Garamond" w:hAnsi="Garamond"/>
                                <w:b/>
                                <w:bCs/>
                                <w:sz w:val="24"/>
                                <w:szCs w:val="24"/>
                                <w:lang w:val="pt-PT"/>
                              </w:rPr>
                              <w:t xml:space="preserve">Curso: </w:t>
                            </w:r>
                            <w:r w:rsidR="00011229" w:rsidRPr="00FB7E07">
                              <w:rPr>
                                <w:rFonts w:ascii="Garamond" w:hAnsi="Garamond"/>
                                <w:b/>
                                <w:bCs/>
                                <w:sz w:val="24"/>
                                <w:szCs w:val="24"/>
                                <w:lang w:val="pt-PT"/>
                              </w:rPr>
                              <w:t>4</w:t>
                            </w:r>
                            <w:r w:rsidRPr="00FB7E07">
                              <w:rPr>
                                <w:rFonts w:ascii="Garamond" w:hAnsi="Garamond"/>
                                <w:b/>
                                <w:bCs/>
                                <w:sz w:val="24"/>
                                <w:szCs w:val="24"/>
                                <w:lang w:val="pt-PT"/>
                              </w:rPr>
                              <w:t>º</w:t>
                            </w:r>
                            <w:r w:rsidR="00011229" w:rsidRPr="00FB7E07">
                              <w:rPr>
                                <w:rFonts w:ascii="Garamond" w:hAnsi="Garamond"/>
                                <w:b/>
                                <w:bCs/>
                                <w:sz w:val="24"/>
                                <w:szCs w:val="24"/>
                                <w:lang w:val="pt-PT"/>
                              </w:rPr>
                              <w:t xml:space="preserve"> / 5º</w:t>
                            </w:r>
                            <w:r w:rsidRPr="00FB7E07">
                              <w:rPr>
                                <w:rFonts w:ascii="Garamond" w:hAnsi="Garamond"/>
                                <w:b/>
                                <w:bCs/>
                                <w:sz w:val="24"/>
                                <w:szCs w:val="24"/>
                                <w:lang w:val="pt-PT"/>
                              </w:rPr>
                              <w:t xml:space="preserve">. </w:t>
                            </w:r>
                            <w:r w:rsidRPr="00613FA9">
                              <w:rPr>
                                <w:rFonts w:ascii="Garamond" w:hAnsi="Garamond"/>
                                <w:b/>
                                <w:bCs/>
                                <w:sz w:val="24"/>
                                <w:szCs w:val="24"/>
                                <w:lang w:val="pt-PT"/>
                              </w:rPr>
                              <w:t xml:space="preserve">Créditos: 6 ECTS. Carácter: </w:t>
                            </w:r>
                            <w:r w:rsidR="00D50524" w:rsidRPr="00613FA9">
                              <w:rPr>
                                <w:rFonts w:ascii="Garamond" w:hAnsi="Garamond"/>
                                <w:b/>
                                <w:bCs/>
                                <w:sz w:val="24"/>
                                <w:szCs w:val="24"/>
                                <w:lang w:val="pt-PT"/>
                              </w:rPr>
                              <w:t>Optativa</w:t>
                            </w:r>
                            <w:r w:rsidRPr="00613FA9">
                              <w:rPr>
                                <w:rFonts w:ascii="Garamond" w:hAnsi="Garamond"/>
                                <w:b/>
                                <w:bCs/>
                                <w:sz w:val="24"/>
                                <w:szCs w:val="24"/>
                                <w:lang w:val="pt-PT"/>
                              </w:rPr>
                              <w:t>. Semestre: 1º</w:t>
                            </w:r>
                          </w:p>
                          <w:p w14:paraId="5FFB748D" w14:textId="77777777" w:rsidR="00772223" w:rsidRPr="00613FA9" w:rsidRDefault="00772223" w:rsidP="00772223">
                            <w:pPr>
                              <w:shd w:val="clear" w:color="auto" w:fill="E8E8E8" w:themeFill="background2"/>
                              <w:spacing w:after="0" w:line="240" w:lineRule="auto"/>
                              <w:jc w:val="center"/>
                              <w:rPr>
                                <w:rFonts w:ascii="Garamond" w:hAnsi="Garamond"/>
                                <w:sz w:val="24"/>
                                <w:szCs w:val="24"/>
                                <w:lang w:val="pt-PT"/>
                              </w:rPr>
                            </w:pPr>
                            <w:r w:rsidRPr="00613FA9">
                              <w:rPr>
                                <w:rFonts w:ascii="Garamond" w:hAnsi="Garamond"/>
                                <w:sz w:val="24"/>
                                <w:szCs w:val="24"/>
                                <w:lang w:val="pt-PT"/>
                              </w:rPr>
                              <w:t>Departamento de Relaciones Internacionales e Historia global</w:t>
                            </w:r>
                          </w:p>
                          <w:p w14:paraId="4CB33DEF" w14:textId="77777777" w:rsidR="00772223" w:rsidRPr="00613FA9" w:rsidRDefault="00772223" w:rsidP="00772223">
                            <w:pPr>
                              <w:shd w:val="clear" w:color="auto" w:fill="E8E8E8" w:themeFill="background2"/>
                              <w:spacing w:after="0" w:line="240" w:lineRule="auto"/>
                              <w:jc w:val="center"/>
                              <w:rPr>
                                <w:rFonts w:ascii="Garamond" w:hAnsi="Garamond"/>
                                <w:sz w:val="24"/>
                                <w:szCs w:val="24"/>
                                <w:lang w:val="pt-PT"/>
                              </w:rPr>
                            </w:pPr>
                            <w:r w:rsidRPr="00613FA9">
                              <w:rPr>
                                <w:rFonts w:ascii="Garamond" w:hAnsi="Garamond"/>
                                <w:sz w:val="24"/>
                                <w:szCs w:val="24"/>
                                <w:lang w:val="pt-PT"/>
                              </w:rPr>
                              <w:t>Facultad de CC. Políticas y Sociología</w:t>
                            </w:r>
                          </w:p>
                          <w:p w14:paraId="3162D79A" w14:textId="3E53D968" w:rsidR="000F0CB7" w:rsidRPr="00613FA9" w:rsidRDefault="00772223" w:rsidP="00613FA9">
                            <w:pPr>
                              <w:shd w:val="clear" w:color="auto" w:fill="E8E8E8" w:themeFill="background2"/>
                              <w:spacing w:after="0" w:line="240" w:lineRule="auto"/>
                              <w:jc w:val="center"/>
                              <w:rPr>
                                <w:rFonts w:ascii="Garamond" w:hAnsi="Garamond"/>
                                <w:sz w:val="24"/>
                                <w:szCs w:val="24"/>
                                <w:lang w:val="pt-PT"/>
                              </w:rPr>
                            </w:pPr>
                            <w:r w:rsidRPr="00613FA9">
                              <w:rPr>
                                <w:rFonts w:ascii="Garamond" w:hAnsi="Garamond"/>
                                <w:sz w:val="24"/>
                                <w:szCs w:val="24"/>
                                <w:lang w:val="pt-PT"/>
                              </w:rPr>
                              <w:t>Universidad Complutense de Madrid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4CB176" id="_x0000_t202" coordsize="21600,21600" o:spt="202" path="m,l,21600r21600,l21600,xe">
                <v:stroke joinstyle="miter"/>
                <v:path gradientshapeok="t" o:connecttype="rect"/>
              </v:shapetype>
              <v:shape id="Cuadro de texto 2" o:spid="_x0000_s1026" type="#_x0000_t202" style="position:absolute;margin-left:0;margin-top:1.5pt;width:457.95pt;height:167.7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rGLAIAAE8EAAAOAAAAZHJzL2Uyb0RvYy54bWysVFFv0zAQfkfiP1h+p2midm2jpdPoKEIa&#10;A2nwA66201g4vmC7Tcav5+x0pRrwgsiD5fOdP999312ub4bWsKNyXqOteD6ZcqasQKntvuJfv2zf&#10;LDnzAawEg1ZV/El5frN+/eq670pVYINGKscIxPqy7yrehNCVWeZFo1rwE+yUJWeNroVApttn0kFP&#10;6K3Jiun0KuvRyc6hUN7T6d3o5OuEX9dKhE917VVgpuKUW0irS+surtn6Gsq9g67R4pQG/EMWLWhL&#10;j56h7iAAOzj9G1SrhUOPdZgIbDOsay1UqoGqyacvqnlsoFOpFiLHd2ea/P+DFQ/Hz45pWfEiX3Bm&#10;oSWRNgeQDplULKghICsiTX3nS4p+7Cg+DG9xILlTyb67R/HNM4ubBuxe3TqHfaNAUpp5vJldXB1x&#10;fATZ9R9R0mtwCJiAhtq1kUNihRE6yfV0lojyYIIO58t8vrqacybIV+TFarFKImZQPl/vnA/vFbYs&#10;biruqAcSPBzvfYjpQPkcEl/zaLTcamOS4fa7jXHsCNQv2/SlCl6EGct6en45X8xHCv6KMU3fnzBa&#10;HajzjW4rvjwHQRmJe2dl6ssA2ox7ytnYE5ORvJHGMOyGkzI7lE/EqcOxw2kiadOg+8FZT91dcf/9&#10;AE5xZj5Y0mWVz2ZxHJIxmy8KMtylZ3fpASsIquKBs3G7CWmEImMWb0m/Widmo9BjJqdcqWsT4acJ&#10;i2NxaaeoX/+B9U8AAAD//wMAUEsDBBQABgAIAAAAIQBAH8fa3gAAAAYBAAAPAAAAZHJzL2Rvd25y&#10;ZXYueG1sTI/NbsIwEITvlfoO1iL1VhxKy0+Ig1BL1QOHqoQHcOJtEojXkW0gfftuT/Q0Gs1q5tts&#10;PdhOXNCH1pGCyTgBgVQ501Kt4FC8Py5AhKjJ6M4RKvjBAOv8/i7TqXFX+sLLPtaCSyikWkETY59K&#10;GaoGrQ5j1yNx9u281ZGtr6Xx+srltpNPSTKTVrfEC43u8bXB6rQ/WwVHLIt6t9n54nM+e9t+6O1p&#10;fjwo9TAaNisQEYd4O4Y/fEaHnJlKdyYTRKeAH4kKpiwcLicvSxAl++niGWSeyf/4+S8AAAD//wMA&#10;UEsBAi0AFAAGAAgAAAAhALaDOJL+AAAA4QEAABMAAAAAAAAAAAAAAAAAAAAAAFtDb250ZW50X1R5&#10;cGVzXS54bWxQSwECLQAUAAYACAAAACEAOP0h/9YAAACUAQAACwAAAAAAAAAAAAAAAAAvAQAAX3Jl&#10;bHMvLnJlbHNQSwECLQAUAAYACAAAACEA0voaxiwCAABPBAAADgAAAAAAAAAAAAAAAAAuAgAAZHJz&#10;L2Uyb0RvYy54bWxQSwECLQAUAAYACAAAACEAQB/H2t4AAAAGAQAADwAAAAAAAAAAAAAAAACGBAAA&#10;ZHJzL2Rvd25yZXYueG1sUEsFBgAAAAAEAAQA8wAAAJEFAAAAAA==&#10;" strokeweight="2.25pt">
                <v:textbox>
                  <w:txbxContent>
                    <w:p w14:paraId="2247A654" w14:textId="77777777" w:rsidR="00613FA9" w:rsidRDefault="00613FA9" w:rsidP="00772223">
                      <w:pPr>
                        <w:shd w:val="clear" w:color="auto" w:fill="E8E8E8" w:themeFill="background2"/>
                        <w:spacing w:after="0" w:line="240" w:lineRule="auto"/>
                        <w:jc w:val="center"/>
                        <w:rPr>
                          <w:rFonts w:ascii="Garamond" w:hAnsi="Garamond"/>
                          <w:b/>
                          <w:bCs/>
                          <w:sz w:val="36"/>
                          <w:szCs w:val="36"/>
                        </w:rPr>
                      </w:pPr>
                    </w:p>
                    <w:p w14:paraId="7505CD3F" w14:textId="4CDBAB4E" w:rsidR="00772223" w:rsidRPr="00772223" w:rsidRDefault="00772223" w:rsidP="00772223">
                      <w:pPr>
                        <w:shd w:val="clear" w:color="auto" w:fill="E8E8E8" w:themeFill="background2"/>
                        <w:spacing w:after="0" w:line="240" w:lineRule="auto"/>
                        <w:jc w:val="center"/>
                        <w:rPr>
                          <w:rFonts w:ascii="Garamond" w:hAnsi="Garamond"/>
                          <w:b/>
                          <w:bCs/>
                          <w:sz w:val="36"/>
                          <w:szCs w:val="36"/>
                        </w:rPr>
                      </w:pPr>
                      <w:r w:rsidRPr="00772223">
                        <w:rPr>
                          <w:rFonts w:ascii="Garamond" w:hAnsi="Garamond"/>
                          <w:b/>
                          <w:bCs/>
                          <w:sz w:val="36"/>
                          <w:szCs w:val="36"/>
                        </w:rPr>
                        <w:t>CURSO 2025-2026</w:t>
                      </w:r>
                    </w:p>
                    <w:p w14:paraId="7A9FF2DA" w14:textId="77777777" w:rsidR="00772223" w:rsidRPr="00772223" w:rsidRDefault="00772223" w:rsidP="00772223">
                      <w:pPr>
                        <w:shd w:val="clear" w:color="auto" w:fill="E8E8E8" w:themeFill="background2"/>
                        <w:spacing w:after="0" w:line="240" w:lineRule="auto"/>
                        <w:jc w:val="center"/>
                        <w:rPr>
                          <w:rFonts w:ascii="Garamond" w:hAnsi="Garamond"/>
                          <w:b/>
                          <w:bCs/>
                          <w:sz w:val="24"/>
                          <w:szCs w:val="24"/>
                        </w:rPr>
                      </w:pPr>
                    </w:p>
                    <w:p w14:paraId="653496E5" w14:textId="0E169C90" w:rsidR="00772223" w:rsidRPr="00772223" w:rsidRDefault="000720EA" w:rsidP="00772223">
                      <w:pPr>
                        <w:shd w:val="clear" w:color="auto" w:fill="E8E8E8" w:themeFill="background2"/>
                        <w:spacing w:after="0" w:line="240" w:lineRule="auto"/>
                        <w:jc w:val="center"/>
                        <w:rPr>
                          <w:rFonts w:ascii="Garamond" w:hAnsi="Garamond"/>
                          <w:b/>
                          <w:bCs/>
                          <w:sz w:val="24"/>
                          <w:szCs w:val="24"/>
                        </w:rPr>
                      </w:pPr>
                      <w:r>
                        <w:rPr>
                          <w:rFonts w:ascii="Garamond" w:hAnsi="Garamond"/>
                          <w:b/>
                          <w:bCs/>
                          <w:sz w:val="24"/>
                          <w:szCs w:val="24"/>
                        </w:rPr>
                        <w:t>RELACIONES EXTERIORES DE LA UNIÓN EUROPEA</w:t>
                      </w:r>
                    </w:p>
                    <w:p w14:paraId="2D8DB937" w14:textId="75E2D118" w:rsidR="00772223" w:rsidRPr="00FB7E07" w:rsidRDefault="00FB7E07" w:rsidP="00772223">
                      <w:pPr>
                        <w:shd w:val="clear" w:color="auto" w:fill="E8E8E8" w:themeFill="background2"/>
                        <w:spacing w:after="0" w:line="240" w:lineRule="auto"/>
                        <w:jc w:val="center"/>
                        <w:rPr>
                          <w:rFonts w:ascii="Garamond" w:hAnsi="Garamond"/>
                          <w:b/>
                          <w:bCs/>
                          <w:sz w:val="24"/>
                          <w:szCs w:val="24"/>
                          <w:lang w:val="pt-PT"/>
                        </w:rPr>
                      </w:pPr>
                      <w:r w:rsidRPr="00FB7E07">
                        <w:rPr>
                          <w:rFonts w:ascii="Garamond" w:hAnsi="Garamond"/>
                          <w:b/>
                          <w:bCs/>
                          <w:sz w:val="24"/>
                          <w:szCs w:val="24"/>
                          <w:lang w:val="pt-PT"/>
                        </w:rPr>
                        <w:t>CÓDIGOS A</w:t>
                      </w:r>
                      <w:r>
                        <w:rPr>
                          <w:rFonts w:ascii="Garamond" w:hAnsi="Garamond"/>
                          <w:b/>
                          <w:bCs/>
                          <w:sz w:val="24"/>
                          <w:szCs w:val="24"/>
                          <w:lang w:val="pt-PT"/>
                        </w:rPr>
                        <w:t>SIGNATURA: 900966 - 802588</w:t>
                      </w:r>
                    </w:p>
                    <w:p w14:paraId="31074DA5" w14:textId="410965AA" w:rsidR="00772223" w:rsidRPr="00613FA9" w:rsidRDefault="00772223" w:rsidP="00772223">
                      <w:pPr>
                        <w:shd w:val="clear" w:color="auto" w:fill="E8E8E8" w:themeFill="background2"/>
                        <w:spacing w:after="0" w:line="240" w:lineRule="auto"/>
                        <w:jc w:val="center"/>
                        <w:rPr>
                          <w:rFonts w:ascii="Garamond" w:hAnsi="Garamond"/>
                          <w:b/>
                          <w:bCs/>
                          <w:sz w:val="24"/>
                          <w:szCs w:val="24"/>
                          <w:lang w:val="pt-PT"/>
                        </w:rPr>
                      </w:pPr>
                      <w:r w:rsidRPr="00FB7E07">
                        <w:rPr>
                          <w:rFonts w:ascii="Garamond" w:hAnsi="Garamond"/>
                          <w:b/>
                          <w:bCs/>
                          <w:sz w:val="24"/>
                          <w:szCs w:val="24"/>
                          <w:lang w:val="pt-PT"/>
                        </w:rPr>
                        <w:t xml:space="preserve">Curso: </w:t>
                      </w:r>
                      <w:r w:rsidR="00011229" w:rsidRPr="00FB7E07">
                        <w:rPr>
                          <w:rFonts w:ascii="Garamond" w:hAnsi="Garamond"/>
                          <w:b/>
                          <w:bCs/>
                          <w:sz w:val="24"/>
                          <w:szCs w:val="24"/>
                          <w:lang w:val="pt-PT"/>
                        </w:rPr>
                        <w:t>4</w:t>
                      </w:r>
                      <w:r w:rsidRPr="00FB7E07">
                        <w:rPr>
                          <w:rFonts w:ascii="Garamond" w:hAnsi="Garamond"/>
                          <w:b/>
                          <w:bCs/>
                          <w:sz w:val="24"/>
                          <w:szCs w:val="24"/>
                          <w:lang w:val="pt-PT"/>
                        </w:rPr>
                        <w:t>º</w:t>
                      </w:r>
                      <w:r w:rsidR="00011229" w:rsidRPr="00FB7E07">
                        <w:rPr>
                          <w:rFonts w:ascii="Garamond" w:hAnsi="Garamond"/>
                          <w:b/>
                          <w:bCs/>
                          <w:sz w:val="24"/>
                          <w:szCs w:val="24"/>
                          <w:lang w:val="pt-PT"/>
                        </w:rPr>
                        <w:t xml:space="preserve"> / 5º</w:t>
                      </w:r>
                      <w:r w:rsidRPr="00FB7E07">
                        <w:rPr>
                          <w:rFonts w:ascii="Garamond" w:hAnsi="Garamond"/>
                          <w:b/>
                          <w:bCs/>
                          <w:sz w:val="24"/>
                          <w:szCs w:val="24"/>
                          <w:lang w:val="pt-PT"/>
                        </w:rPr>
                        <w:t xml:space="preserve">. </w:t>
                      </w:r>
                      <w:r w:rsidRPr="00613FA9">
                        <w:rPr>
                          <w:rFonts w:ascii="Garamond" w:hAnsi="Garamond"/>
                          <w:b/>
                          <w:bCs/>
                          <w:sz w:val="24"/>
                          <w:szCs w:val="24"/>
                          <w:lang w:val="pt-PT"/>
                        </w:rPr>
                        <w:t xml:space="preserve">Créditos: 6 ECTS. Carácter: </w:t>
                      </w:r>
                      <w:r w:rsidR="00D50524" w:rsidRPr="00613FA9">
                        <w:rPr>
                          <w:rFonts w:ascii="Garamond" w:hAnsi="Garamond"/>
                          <w:b/>
                          <w:bCs/>
                          <w:sz w:val="24"/>
                          <w:szCs w:val="24"/>
                          <w:lang w:val="pt-PT"/>
                        </w:rPr>
                        <w:t>Optativa</w:t>
                      </w:r>
                      <w:r w:rsidRPr="00613FA9">
                        <w:rPr>
                          <w:rFonts w:ascii="Garamond" w:hAnsi="Garamond"/>
                          <w:b/>
                          <w:bCs/>
                          <w:sz w:val="24"/>
                          <w:szCs w:val="24"/>
                          <w:lang w:val="pt-PT"/>
                        </w:rPr>
                        <w:t>. Semestre: 1º</w:t>
                      </w:r>
                    </w:p>
                    <w:p w14:paraId="5FFB748D" w14:textId="77777777" w:rsidR="00772223" w:rsidRPr="00613FA9" w:rsidRDefault="00772223" w:rsidP="00772223">
                      <w:pPr>
                        <w:shd w:val="clear" w:color="auto" w:fill="E8E8E8" w:themeFill="background2"/>
                        <w:spacing w:after="0" w:line="240" w:lineRule="auto"/>
                        <w:jc w:val="center"/>
                        <w:rPr>
                          <w:rFonts w:ascii="Garamond" w:hAnsi="Garamond"/>
                          <w:sz w:val="24"/>
                          <w:szCs w:val="24"/>
                          <w:lang w:val="pt-PT"/>
                        </w:rPr>
                      </w:pPr>
                      <w:r w:rsidRPr="00613FA9">
                        <w:rPr>
                          <w:rFonts w:ascii="Garamond" w:hAnsi="Garamond"/>
                          <w:sz w:val="24"/>
                          <w:szCs w:val="24"/>
                          <w:lang w:val="pt-PT"/>
                        </w:rPr>
                        <w:t>Departamento de Relaciones Internacionales e Historia global</w:t>
                      </w:r>
                    </w:p>
                    <w:p w14:paraId="4CB33DEF" w14:textId="77777777" w:rsidR="00772223" w:rsidRPr="00613FA9" w:rsidRDefault="00772223" w:rsidP="00772223">
                      <w:pPr>
                        <w:shd w:val="clear" w:color="auto" w:fill="E8E8E8" w:themeFill="background2"/>
                        <w:spacing w:after="0" w:line="240" w:lineRule="auto"/>
                        <w:jc w:val="center"/>
                        <w:rPr>
                          <w:rFonts w:ascii="Garamond" w:hAnsi="Garamond"/>
                          <w:sz w:val="24"/>
                          <w:szCs w:val="24"/>
                          <w:lang w:val="pt-PT"/>
                        </w:rPr>
                      </w:pPr>
                      <w:r w:rsidRPr="00613FA9">
                        <w:rPr>
                          <w:rFonts w:ascii="Garamond" w:hAnsi="Garamond"/>
                          <w:sz w:val="24"/>
                          <w:szCs w:val="24"/>
                          <w:lang w:val="pt-PT"/>
                        </w:rPr>
                        <w:t>Facultad de CC. Políticas y Sociología</w:t>
                      </w:r>
                    </w:p>
                    <w:p w14:paraId="3162D79A" w14:textId="3E53D968" w:rsidR="000F0CB7" w:rsidRPr="00613FA9" w:rsidRDefault="00772223" w:rsidP="00613FA9">
                      <w:pPr>
                        <w:shd w:val="clear" w:color="auto" w:fill="E8E8E8" w:themeFill="background2"/>
                        <w:spacing w:after="0" w:line="240" w:lineRule="auto"/>
                        <w:jc w:val="center"/>
                        <w:rPr>
                          <w:rFonts w:ascii="Garamond" w:hAnsi="Garamond"/>
                          <w:sz w:val="24"/>
                          <w:szCs w:val="24"/>
                          <w:lang w:val="pt-PT"/>
                        </w:rPr>
                      </w:pPr>
                      <w:r w:rsidRPr="00613FA9">
                        <w:rPr>
                          <w:rFonts w:ascii="Garamond" w:hAnsi="Garamond"/>
                          <w:sz w:val="24"/>
                          <w:szCs w:val="24"/>
                          <w:lang w:val="pt-PT"/>
                        </w:rPr>
                        <w:t>Universidad Complutense de Madrid</w:t>
                      </w:r>
                    </w:p>
                  </w:txbxContent>
                </v:textbox>
                <w10:wrap type="square" anchorx="margin"/>
              </v:shape>
            </w:pict>
          </mc:Fallback>
        </mc:AlternateContent>
      </w:r>
    </w:p>
    <w:p w14:paraId="50AA630A" w14:textId="77777777" w:rsidR="00F37DAA" w:rsidRPr="00F37DAA" w:rsidRDefault="00F37DAA" w:rsidP="00F37DAA">
      <w:pPr>
        <w:tabs>
          <w:tab w:val="left" w:pos="1147"/>
        </w:tabs>
        <w:spacing w:after="0" w:line="240" w:lineRule="auto"/>
        <w:jc w:val="both"/>
        <w:rPr>
          <w:rFonts w:ascii="Garamond" w:hAnsi="Garamond"/>
          <w:b/>
          <w:bCs/>
          <w:sz w:val="24"/>
          <w:szCs w:val="24"/>
        </w:rPr>
      </w:pPr>
      <w:r w:rsidRPr="00F37DAA">
        <w:rPr>
          <w:rFonts w:ascii="Garamond" w:hAnsi="Garamond"/>
          <w:b/>
          <w:bCs/>
          <w:sz w:val="24"/>
          <w:szCs w:val="24"/>
        </w:rPr>
        <w:t>PRESENTACIÓN DE LA ASIGNATURA</w:t>
      </w:r>
    </w:p>
    <w:p w14:paraId="3EDF2142" w14:textId="77777777" w:rsidR="00F37DAA" w:rsidRDefault="00F37DAA" w:rsidP="00F37DAA">
      <w:pPr>
        <w:tabs>
          <w:tab w:val="left" w:pos="1147"/>
        </w:tabs>
        <w:spacing w:after="0" w:line="240" w:lineRule="auto"/>
        <w:jc w:val="both"/>
        <w:rPr>
          <w:rFonts w:ascii="Garamond" w:hAnsi="Garamond"/>
          <w:sz w:val="24"/>
          <w:szCs w:val="24"/>
        </w:rPr>
      </w:pPr>
    </w:p>
    <w:p w14:paraId="0F0AFC64" w14:textId="45E2EA8D" w:rsidR="00F37DAA" w:rsidRDefault="00F37DAA" w:rsidP="00F37DAA">
      <w:pPr>
        <w:tabs>
          <w:tab w:val="left" w:pos="1147"/>
        </w:tabs>
        <w:spacing w:after="0" w:line="240" w:lineRule="auto"/>
        <w:jc w:val="both"/>
        <w:rPr>
          <w:rFonts w:ascii="Garamond" w:hAnsi="Garamond"/>
          <w:sz w:val="24"/>
          <w:szCs w:val="24"/>
        </w:rPr>
      </w:pPr>
      <w:r w:rsidRPr="00F37DAA">
        <w:rPr>
          <w:rFonts w:ascii="Garamond" w:hAnsi="Garamond"/>
          <w:sz w:val="24"/>
          <w:szCs w:val="24"/>
        </w:rPr>
        <w:t>La asignatura “</w:t>
      </w:r>
      <w:r w:rsidR="00D3350F">
        <w:rPr>
          <w:rFonts w:ascii="Garamond" w:hAnsi="Garamond"/>
          <w:sz w:val="24"/>
          <w:szCs w:val="24"/>
        </w:rPr>
        <w:t>Relaciones exteriores</w:t>
      </w:r>
      <w:r w:rsidRPr="00F37DAA">
        <w:rPr>
          <w:rFonts w:ascii="Garamond" w:hAnsi="Garamond"/>
          <w:sz w:val="24"/>
          <w:szCs w:val="24"/>
        </w:rPr>
        <w:t xml:space="preserve"> de la Unión Europea” se enmarca </w:t>
      </w:r>
      <w:r w:rsidR="0062114E">
        <w:rPr>
          <w:rFonts w:ascii="Garamond" w:hAnsi="Garamond"/>
          <w:sz w:val="24"/>
          <w:szCs w:val="24"/>
        </w:rPr>
        <w:t xml:space="preserve">como optativa </w:t>
      </w:r>
      <w:r w:rsidRPr="00F37DAA">
        <w:rPr>
          <w:rFonts w:ascii="Garamond" w:hAnsi="Garamond"/>
          <w:sz w:val="24"/>
          <w:szCs w:val="24"/>
        </w:rPr>
        <w:t xml:space="preserve">en el Grado </w:t>
      </w:r>
      <w:r w:rsidR="0062114E">
        <w:rPr>
          <w:rFonts w:ascii="Garamond" w:hAnsi="Garamond"/>
          <w:sz w:val="24"/>
          <w:szCs w:val="24"/>
        </w:rPr>
        <w:t>y Doble Grado con</w:t>
      </w:r>
      <w:r w:rsidRPr="00F37DAA">
        <w:rPr>
          <w:rFonts w:ascii="Garamond" w:hAnsi="Garamond"/>
          <w:sz w:val="24"/>
          <w:szCs w:val="24"/>
        </w:rPr>
        <w:t xml:space="preserve"> Relaciones Internacionales</w:t>
      </w:r>
      <w:r w:rsidR="0058247A">
        <w:rPr>
          <w:rFonts w:ascii="Garamond" w:hAnsi="Garamond"/>
          <w:sz w:val="24"/>
          <w:szCs w:val="24"/>
        </w:rPr>
        <w:t xml:space="preserve">. </w:t>
      </w:r>
      <w:r w:rsidRPr="00F37DAA">
        <w:rPr>
          <w:rFonts w:ascii="Garamond" w:hAnsi="Garamond"/>
          <w:sz w:val="24"/>
          <w:szCs w:val="24"/>
        </w:rPr>
        <w:t xml:space="preserve">La finalidad de la asignatura es que el estudiante adquiera los conocimientos necesarios para analizar en profundidad la Política Exterior </w:t>
      </w:r>
      <w:r w:rsidR="008D5711">
        <w:rPr>
          <w:rFonts w:ascii="Garamond" w:hAnsi="Garamond"/>
          <w:sz w:val="24"/>
          <w:szCs w:val="24"/>
        </w:rPr>
        <w:t xml:space="preserve">y de Seguridad </w:t>
      </w:r>
      <w:r w:rsidRPr="00F37DAA">
        <w:rPr>
          <w:rFonts w:ascii="Garamond" w:hAnsi="Garamond"/>
          <w:sz w:val="24"/>
          <w:szCs w:val="24"/>
        </w:rPr>
        <w:t>Común de la Unión Europea. Se estudiará la evolución de la UE como actor internacional desde el Tratado de Maastricht hasta la actualidad, con un énfasis especial en las transformaciones institucionales y operativas introducidas por el Tratado de Lisboa. La asignatura parte del enfoque teórico del "poder normativo" para examinar cómo la UE no solo defiende sus intereses, sino que aspira a transformar la gobernanza global.</w:t>
      </w:r>
    </w:p>
    <w:p w14:paraId="0F0D20C8" w14:textId="77777777" w:rsidR="00F37DAA" w:rsidRPr="00F37DAA" w:rsidRDefault="00F37DAA" w:rsidP="00F37DAA">
      <w:pPr>
        <w:tabs>
          <w:tab w:val="left" w:pos="1147"/>
        </w:tabs>
        <w:spacing w:after="0" w:line="240" w:lineRule="auto"/>
        <w:jc w:val="both"/>
        <w:rPr>
          <w:rFonts w:ascii="Garamond" w:hAnsi="Garamond"/>
          <w:sz w:val="24"/>
          <w:szCs w:val="24"/>
        </w:rPr>
      </w:pPr>
    </w:p>
    <w:p w14:paraId="33813AC2" w14:textId="497B215C" w:rsidR="00F37DAA" w:rsidRDefault="00F37DAA" w:rsidP="00F37DAA">
      <w:pPr>
        <w:tabs>
          <w:tab w:val="left" w:pos="1147"/>
        </w:tabs>
        <w:spacing w:after="0" w:line="240" w:lineRule="auto"/>
        <w:jc w:val="both"/>
        <w:rPr>
          <w:rFonts w:ascii="Garamond" w:hAnsi="Garamond"/>
          <w:sz w:val="24"/>
          <w:szCs w:val="24"/>
        </w:rPr>
      </w:pPr>
      <w:r w:rsidRPr="00F37DAA">
        <w:rPr>
          <w:rFonts w:ascii="Garamond" w:hAnsi="Garamond"/>
          <w:sz w:val="24"/>
          <w:szCs w:val="24"/>
        </w:rPr>
        <w:t xml:space="preserve">En este sentido, se proporcionarán herramientas de análisis para comprender el marco institucional de la política exterior, incluyendo la Política Común de Seguridad y Defensa y el Servicio Europeo de Acción Exterior. Asimismo, se profundizará en la dimensión externa de sus políticas comunes (vecindad, comercio, cooperación al desarrollo) y en sus relaciones estratégicas con otros actores globales y regionales, capacitando al </w:t>
      </w:r>
      <w:r w:rsidR="00F95A20">
        <w:rPr>
          <w:rFonts w:ascii="Garamond" w:hAnsi="Garamond"/>
          <w:sz w:val="24"/>
          <w:szCs w:val="24"/>
        </w:rPr>
        <w:t>estudiante</w:t>
      </w:r>
      <w:r w:rsidRPr="00F37DAA">
        <w:rPr>
          <w:rFonts w:ascii="Garamond" w:hAnsi="Garamond"/>
          <w:sz w:val="24"/>
          <w:szCs w:val="24"/>
        </w:rPr>
        <w:t xml:space="preserve"> para evaluar los desafíos y el futuro de la acción exterior de la Unión.</w:t>
      </w:r>
    </w:p>
    <w:p w14:paraId="33756A17" w14:textId="77777777" w:rsidR="00F37DAA" w:rsidRPr="00F37DAA" w:rsidRDefault="00F37DAA" w:rsidP="00F37DAA">
      <w:pPr>
        <w:tabs>
          <w:tab w:val="left" w:pos="1147"/>
        </w:tabs>
        <w:spacing w:after="0" w:line="240" w:lineRule="auto"/>
        <w:jc w:val="both"/>
        <w:rPr>
          <w:rFonts w:ascii="Garamond" w:hAnsi="Garamond"/>
          <w:sz w:val="24"/>
          <w:szCs w:val="24"/>
        </w:rPr>
      </w:pPr>
    </w:p>
    <w:p w14:paraId="7FB7E151" w14:textId="77777777" w:rsidR="00F37DAA" w:rsidRDefault="00F37DAA" w:rsidP="00F37DAA">
      <w:pPr>
        <w:tabs>
          <w:tab w:val="left" w:pos="1147"/>
        </w:tabs>
        <w:spacing w:after="0" w:line="240" w:lineRule="auto"/>
        <w:jc w:val="both"/>
        <w:rPr>
          <w:rFonts w:ascii="Garamond" w:hAnsi="Garamond"/>
          <w:b/>
          <w:bCs/>
          <w:sz w:val="24"/>
          <w:szCs w:val="24"/>
        </w:rPr>
      </w:pPr>
      <w:r w:rsidRPr="00F37DAA">
        <w:rPr>
          <w:rFonts w:ascii="Garamond" w:hAnsi="Garamond"/>
          <w:b/>
          <w:bCs/>
          <w:sz w:val="24"/>
          <w:szCs w:val="24"/>
        </w:rPr>
        <w:t>DESCRIPTORES:</w:t>
      </w:r>
    </w:p>
    <w:p w14:paraId="64EAA96F" w14:textId="77777777" w:rsidR="00B11700" w:rsidRPr="00F37DAA" w:rsidRDefault="00B11700" w:rsidP="00F37DAA">
      <w:pPr>
        <w:tabs>
          <w:tab w:val="left" w:pos="1147"/>
        </w:tabs>
        <w:spacing w:after="0" w:line="240" w:lineRule="auto"/>
        <w:jc w:val="both"/>
        <w:rPr>
          <w:rFonts w:ascii="Garamond" w:hAnsi="Garamond"/>
          <w:b/>
          <w:bCs/>
          <w:sz w:val="24"/>
          <w:szCs w:val="24"/>
        </w:rPr>
      </w:pPr>
    </w:p>
    <w:p w14:paraId="4C4BCD25" w14:textId="77777777" w:rsidR="00F37DAA" w:rsidRPr="00F37DAA" w:rsidRDefault="00F37DAA" w:rsidP="00F37DAA">
      <w:pPr>
        <w:tabs>
          <w:tab w:val="left" w:pos="1147"/>
        </w:tabs>
        <w:spacing w:after="0" w:line="240" w:lineRule="auto"/>
        <w:jc w:val="both"/>
        <w:rPr>
          <w:rFonts w:ascii="Garamond" w:hAnsi="Garamond"/>
          <w:sz w:val="24"/>
          <w:szCs w:val="24"/>
        </w:rPr>
      </w:pPr>
      <w:r w:rsidRPr="00F37DAA">
        <w:rPr>
          <w:rFonts w:ascii="Garamond" w:hAnsi="Garamond"/>
          <w:sz w:val="24"/>
          <w:szCs w:val="24"/>
        </w:rPr>
        <w:t>Unión Europea; Política Exterior y de Seguridad Común (PESC); Tratado de Lisboa; Servicio Europeo de Acción Exterior (SEAE); Política Común de Seguridad y Defensa (PCSD); Poder normativo; Relaciones exteriores de la UE; Gobernanza global.</w:t>
      </w:r>
    </w:p>
    <w:p w14:paraId="0E80D508" w14:textId="77777777" w:rsidR="005E7DB4" w:rsidRPr="00F37DAA" w:rsidRDefault="005E7DB4" w:rsidP="00EC0B5F">
      <w:pPr>
        <w:tabs>
          <w:tab w:val="left" w:pos="1147"/>
        </w:tabs>
        <w:spacing w:after="0" w:line="240" w:lineRule="auto"/>
        <w:rPr>
          <w:rFonts w:ascii="Garamond" w:hAnsi="Garamond"/>
          <w:sz w:val="24"/>
          <w:szCs w:val="24"/>
        </w:rPr>
      </w:pPr>
    </w:p>
    <w:p w14:paraId="2267E73B" w14:textId="2F78C9F3" w:rsidR="00036533" w:rsidRDefault="00036533" w:rsidP="00EC0B5F">
      <w:pPr>
        <w:tabs>
          <w:tab w:val="left" w:pos="1147"/>
        </w:tabs>
        <w:spacing w:after="0" w:line="240" w:lineRule="auto"/>
        <w:rPr>
          <w:rFonts w:ascii="Garamond" w:hAnsi="Garamond"/>
          <w:b/>
          <w:bCs/>
          <w:sz w:val="24"/>
          <w:szCs w:val="24"/>
        </w:rPr>
      </w:pPr>
      <w:r>
        <w:rPr>
          <w:rFonts w:ascii="Garamond" w:hAnsi="Garamond"/>
          <w:b/>
          <w:bCs/>
          <w:sz w:val="24"/>
          <w:szCs w:val="24"/>
        </w:rPr>
        <w:t>METODOLOGÍA</w:t>
      </w:r>
    </w:p>
    <w:p w14:paraId="4D0AB1B5" w14:textId="77777777" w:rsidR="00EC0B5F" w:rsidRDefault="00EC0B5F" w:rsidP="00EC0B5F">
      <w:pPr>
        <w:tabs>
          <w:tab w:val="left" w:pos="1147"/>
        </w:tabs>
        <w:spacing w:after="0" w:line="240" w:lineRule="auto"/>
        <w:rPr>
          <w:rFonts w:ascii="Garamond" w:hAnsi="Garamond"/>
          <w:b/>
          <w:bCs/>
          <w:sz w:val="24"/>
          <w:szCs w:val="24"/>
        </w:rPr>
      </w:pPr>
    </w:p>
    <w:p w14:paraId="76EF166B" w14:textId="0A19C358" w:rsidR="00EC0B5F" w:rsidRDefault="00EC0B5F" w:rsidP="00EC0B5F">
      <w:pPr>
        <w:tabs>
          <w:tab w:val="left" w:pos="1147"/>
        </w:tabs>
        <w:spacing w:after="0" w:line="240" w:lineRule="auto"/>
        <w:jc w:val="both"/>
        <w:rPr>
          <w:rFonts w:ascii="Garamond" w:hAnsi="Garamond"/>
          <w:sz w:val="24"/>
          <w:szCs w:val="24"/>
        </w:rPr>
      </w:pPr>
      <w:r w:rsidRPr="00EC0B5F">
        <w:rPr>
          <w:rFonts w:ascii="Garamond" w:hAnsi="Garamond"/>
          <w:sz w:val="24"/>
          <w:szCs w:val="24"/>
        </w:rPr>
        <w:t xml:space="preserve">La metodología docente </w:t>
      </w:r>
      <w:r w:rsidR="003B2BBB">
        <w:rPr>
          <w:rFonts w:ascii="Garamond" w:hAnsi="Garamond"/>
          <w:sz w:val="24"/>
          <w:szCs w:val="24"/>
        </w:rPr>
        <w:t>se articula en torno a tres</w:t>
      </w:r>
      <w:r w:rsidRPr="00EC0B5F">
        <w:rPr>
          <w:rFonts w:ascii="Garamond" w:hAnsi="Garamond"/>
          <w:sz w:val="24"/>
          <w:szCs w:val="24"/>
        </w:rPr>
        <w:t xml:space="preserve"> fundamentos </w:t>
      </w:r>
      <w:r w:rsidR="003B2BBB">
        <w:rPr>
          <w:rFonts w:ascii="Garamond" w:hAnsi="Garamond"/>
          <w:sz w:val="24"/>
          <w:szCs w:val="24"/>
        </w:rPr>
        <w:t>pedagógicos</w:t>
      </w:r>
      <w:r w:rsidRPr="00EC0B5F">
        <w:rPr>
          <w:rFonts w:ascii="Garamond" w:hAnsi="Garamond"/>
          <w:sz w:val="24"/>
          <w:szCs w:val="24"/>
        </w:rPr>
        <w:t>: el teórico, el analítico y el práctico. La secuencia didáctica se basará en exposiciones magistrales por parte del profesor, en las que se plantearán los conceptos fundamentales para el tratamiento de la documentación, la elaboración de los casos prácticos y el desarrollo de las competencias específicas.</w:t>
      </w:r>
    </w:p>
    <w:p w14:paraId="2C6657A2" w14:textId="77777777" w:rsidR="00EC0B5F" w:rsidRDefault="00EC0B5F" w:rsidP="00EC0B5F">
      <w:pPr>
        <w:tabs>
          <w:tab w:val="left" w:pos="1147"/>
        </w:tabs>
        <w:spacing w:after="0" w:line="240" w:lineRule="auto"/>
        <w:jc w:val="both"/>
        <w:rPr>
          <w:rFonts w:ascii="Garamond" w:hAnsi="Garamond"/>
          <w:sz w:val="24"/>
          <w:szCs w:val="24"/>
        </w:rPr>
      </w:pPr>
    </w:p>
    <w:p w14:paraId="36B9ED26" w14:textId="5308353E" w:rsidR="00EC0B5F" w:rsidRDefault="00EC0B5F" w:rsidP="00EC0B5F">
      <w:pPr>
        <w:tabs>
          <w:tab w:val="left" w:pos="1147"/>
        </w:tabs>
        <w:spacing w:after="0" w:line="240" w:lineRule="auto"/>
        <w:jc w:val="both"/>
        <w:rPr>
          <w:rFonts w:ascii="Garamond" w:hAnsi="Garamond"/>
          <w:sz w:val="24"/>
          <w:szCs w:val="24"/>
        </w:rPr>
      </w:pPr>
      <w:r w:rsidRPr="00EC0B5F">
        <w:rPr>
          <w:rFonts w:ascii="Garamond" w:hAnsi="Garamond"/>
          <w:sz w:val="24"/>
          <w:szCs w:val="24"/>
        </w:rPr>
        <w:t xml:space="preserve">El trabajo </w:t>
      </w:r>
      <w:r w:rsidR="00FF726B">
        <w:rPr>
          <w:rFonts w:ascii="Garamond" w:hAnsi="Garamond"/>
          <w:sz w:val="24"/>
          <w:szCs w:val="24"/>
        </w:rPr>
        <w:t>autónomo</w:t>
      </w:r>
      <w:r w:rsidRPr="00EC0B5F">
        <w:rPr>
          <w:rFonts w:ascii="Garamond" w:hAnsi="Garamond"/>
          <w:sz w:val="24"/>
          <w:szCs w:val="24"/>
        </w:rPr>
        <w:t xml:space="preserve"> de cada estudiante estará guiado por la lectura de bibliografía especializada, que proporciona los marcos normativos y teóricos necesarios para la comprensión </w:t>
      </w:r>
      <w:r w:rsidR="00313A82">
        <w:rPr>
          <w:rFonts w:ascii="Garamond" w:hAnsi="Garamond"/>
          <w:sz w:val="24"/>
          <w:szCs w:val="24"/>
        </w:rPr>
        <w:t>de l</w:t>
      </w:r>
      <w:r w:rsidR="00F96F38">
        <w:rPr>
          <w:rFonts w:ascii="Garamond" w:hAnsi="Garamond"/>
          <w:sz w:val="24"/>
          <w:szCs w:val="24"/>
        </w:rPr>
        <w:t>os actores y dinámicas de las relaciones exteriores de la Unión Europea.</w:t>
      </w:r>
      <w:r w:rsidRPr="00EC0B5F">
        <w:rPr>
          <w:rFonts w:ascii="Garamond" w:hAnsi="Garamond"/>
          <w:sz w:val="24"/>
          <w:szCs w:val="24"/>
        </w:rPr>
        <w:t xml:space="preserve"> Este trabajo contará con</w:t>
      </w:r>
      <w:r w:rsidR="00F96F38">
        <w:rPr>
          <w:rFonts w:ascii="Garamond" w:hAnsi="Garamond"/>
          <w:sz w:val="24"/>
          <w:szCs w:val="24"/>
        </w:rPr>
        <w:t xml:space="preserve"> </w:t>
      </w:r>
      <w:r w:rsidR="00017566">
        <w:rPr>
          <w:rFonts w:ascii="Garamond" w:hAnsi="Garamond"/>
          <w:sz w:val="24"/>
          <w:szCs w:val="24"/>
        </w:rPr>
        <w:t>herramientas como el campus virtual y</w:t>
      </w:r>
      <w:r w:rsidRPr="00EC0B5F">
        <w:rPr>
          <w:rFonts w:ascii="Garamond" w:hAnsi="Garamond"/>
          <w:sz w:val="24"/>
          <w:szCs w:val="24"/>
        </w:rPr>
        <w:t xml:space="preserve"> </w:t>
      </w:r>
      <w:r w:rsidR="00D46D99">
        <w:rPr>
          <w:rFonts w:ascii="Garamond" w:hAnsi="Garamond"/>
          <w:sz w:val="24"/>
          <w:szCs w:val="24"/>
        </w:rPr>
        <w:t>la guía</w:t>
      </w:r>
      <w:r w:rsidRPr="00EC0B5F">
        <w:rPr>
          <w:rFonts w:ascii="Garamond" w:hAnsi="Garamond"/>
          <w:sz w:val="24"/>
          <w:szCs w:val="24"/>
        </w:rPr>
        <w:t xml:space="preserve"> del profesor</w:t>
      </w:r>
      <w:r w:rsidR="00D46D99">
        <w:rPr>
          <w:rFonts w:ascii="Garamond" w:hAnsi="Garamond"/>
          <w:sz w:val="24"/>
          <w:szCs w:val="24"/>
        </w:rPr>
        <w:t>.</w:t>
      </w:r>
    </w:p>
    <w:p w14:paraId="40BFFC61" w14:textId="77777777" w:rsidR="00EC0B5F" w:rsidRDefault="00EC0B5F" w:rsidP="00EC0B5F">
      <w:pPr>
        <w:tabs>
          <w:tab w:val="left" w:pos="1147"/>
        </w:tabs>
        <w:spacing w:after="0" w:line="240" w:lineRule="auto"/>
        <w:jc w:val="both"/>
        <w:rPr>
          <w:rFonts w:ascii="Garamond" w:hAnsi="Garamond"/>
          <w:sz w:val="24"/>
          <w:szCs w:val="24"/>
        </w:rPr>
      </w:pPr>
    </w:p>
    <w:p w14:paraId="2182A0BC" w14:textId="47F40E63" w:rsidR="00EC0B5F" w:rsidRDefault="00EC0B5F" w:rsidP="00EC0B5F">
      <w:pPr>
        <w:tabs>
          <w:tab w:val="left" w:pos="1147"/>
        </w:tabs>
        <w:spacing w:after="0" w:line="240" w:lineRule="auto"/>
        <w:jc w:val="both"/>
        <w:rPr>
          <w:rFonts w:ascii="Garamond" w:hAnsi="Garamond"/>
          <w:sz w:val="24"/>
          <w:szCs w:val="24"/>
        </w:rPr>
      </w:pPr>
      <w:r w:rsidRPr="00EC0B5F">
        <w:rPr>
          <w:rFonts w:ascii="Garamond" w:hAnsi="Garamond"/>
          <w:sz w:val="24"/>
          <w:szCs w:val="24"/>
        </w:rPr>
        <w:lastRenderedPageBreak/>
        <w:t xml:space="preserve">Las actividades prácticas y de seguimiento del aprendizaje </w:t>
      </w:r>
      <w:r w:rsidR="00F65F45">
        <w:rPr>
          <w:rFonts w:ascii="Garamond" w:hAnsi="Garamond"/>
          <w:sz w:val="24"/>
          <w:szCs w:val="24"/>
        </w:rPr>
        <w:t>podrán adoptar</w:t>
      </w:r>
      <w:r w:rsidRPr="00EC0B5F">
        <w:rPr>
          <w:rFonts w:ascii="Garamond" w:hAnsi="Garamond"/>
          <w:sz w:val="24"/>
          <w:szCs w:val="24"/>
        </w:rPr>
        <w:t xml:space="preserve"> </w:t>
      </w:r>
      <w:r w:rsidR="00FF726B">
        <w:rPr>
          <w:rFonts w:ascii="Garamond" w:hAnsi="Garamond"/>
          <w:sz w:val="24"/>
          <w:szCs w:val="24"/>
        </w:rPr>
        <w:t>diferentes formatos</w:t>
      </w:r>
      <w:r w:rsidRPr="00EC0B5F">
        <w:rPr>
          <w:rFonts w:ascii="Garamond" w:hAnsi="Garamond"/>
          <w:sz w:val="24"/>
          <w:szCs w:val="24"/>
        </w:rPr>
        <w:t xml:space="preserve">. Los estudiantes trabajarán tanto de forma individual como en grupo, analizando </w:t>
      </w:r>
      <w:r w:rsidR="00F65F45">
        <w:rPr>
          <w:rFonts w:ascii="Garamond" w:hAnsi="Garamond"/>
          <w:sz w:val="24"/>
          <w:szCs w:val="24"/>
        </w:rPr>
        <w:t>casos reales relacionados con el temario,</w:t>
      </w:r>
      <w:r w:rsidRPr="00EC0B5F">
        <w:rPr>
          <w:rFonts w:ascii="Garamond" w:hAnsi="Garamond"/>
          <w:sz w:val="24"/>
          <w:szCs w:val="24"/>
        </w:rPr>
        <w:t xml:space="preserve"> resolviendo casos simulados, </w:t>
      </w:r>
      <w:r w:rsidR="00953187">
        <w:rPr>
          <w:rFonts w:ascii="Garamond" w:hAnsi="Garamond"/>
          <w:sz w:val="24"/>
          <w:szCs w:val="24"/>
        </w:rPr>
        <w:t xml:space="preserve">interpretando </w:t>
      </w:r>
      <w:r w:rsidR="00221254">
        <w:rPr>
          <w:rFonts w:ascii="Garamond" w:hAnsi="Garamond"/>
          <w:sz w:val="24"/>
          <w:szCs w:val="24"/>
        </w:rPr>
        <w:t>indicadores</w:t>
      </w:r>
      <w:r w:rsidRPr="00EC0B5F">
        <w:rPr>
          <w:rFonts w:ascii="Garamond" w:hAnsi="Garamond"/>
          <w:sz w:val="24"/>
          <w:szCs w:val="24"/>
        </w:rPr>
        <w:t xml:space="preserve">, elaborando productos de investigación en formato audiovisual y aprendiendo a manejar con solvencia las fuentes documentales propias </w:t>
      </w:r>
      <w:r w:rsidR="00221254">
        <w:rPr>
          <w:rFonts w:ascii="Garamond" w:hAnsi="Garamond"/>
          <w:sz w:val="24"/>
          <w:szCs w:val="24"/>
        </w:rPr>
        <w:t>de la Unión Europea</w:t>
      </w:r>
      <w:r w:rsidRPr="00EC0B5F">
        <w:rPr>
          <w:rFonts w:ascii="Garamond" w:hAnsi="Garamond"/>
          <w:sz w:val="24"/>
          <w:szCs w:val="24"/>
        </w:rPr>
        <w:t xml:space="preserve">. </w:t>
      </w:r>
      <w:r w:rsidR="009644AC">
        <w:rPr>
          <w:rFonts w:ascii="Garamond" w:hAnsi="Garamond"/>
          <w:sz w:val="24"/>
          <w:szCs w:val="24"/>
        </w:rPr>
        <w:t xml:space="preserve">El profesor avisará con antelación las actividades prácticas a realizarse. </w:t>
      </w:r>
      <w:r w:rsidRPr="00EC0B5F">
        <w:rPr>
          <w:rFonts w:ascii="Garamond" w:hAnsi="Garamond"/>
          <w:sz w:val="24"/>
          <w:szCs w:val="24"/>
        </w:rPr>
        <w:t>Los resultados serán presentados de manera presencial o virtual.</w:t>
      </w:r>
    </w:p>
    <w:p w14:paraId="2B5CFE80" w14:textId="77777777" w:rsidR="00EC0B5F" w:rsidRPr="00EC0B5F" w:rsidRDefault="00EC0B5F" w:rsidP="00EC0B5F">
      <w:pPr>
        <w:tabs>
          <w:tab w:val="left" w:pos="1147"/>
        </w:tabs>
        <w:spacing w:after="0" w:line="240" w:lineRule="auto"/>
        <w:jc w:val="both"/>
        <w:rPr>
          <w:rFonts w:ascii="Garamond" w:hAnsi="Garamond"/>
          <w:sz w:val="24"/>
          <w:szCs w:val="24"/>
        </w:rPr>
      </w:pPr>
    </w:p>
    <w:p w14:paraId="542A8099" w14:textId="299C42CD" w:rsidR="00BA5EB6" w:rsidRDefault="00EC0B5F" w:rsidP="00EC0B5F">
      <w:pPr>
        <w:tabs>
          <w:tab w:val="left" w:pos="1147"/>
        </w:tabs>
        <w:spacing w:after="0" w:line="240" w:lineRule="auto"/>
        <w:jc w:val="both"/>
        <w:rPr>
          <w:rFonts w:ascii="Garamond" w:hAnsi="Garamond"/>
          <w:sz w:val="24"/>
          <w:szCs w:val="24"/>
        </w:rPr>
      </w:pPr>
      <w:r w:rsidRPr="00EC0B5F">
        <w:rPr>
          <w:rFonts w:ascii="Garamond" w:hAnsi="Garamond"/>
          <w:sz w:val="24"/>
          <w:szCs w:val="24"/>
        </w:rPr>
        <w:t>Finalmente, se generarán espacios semanales de discusión, análisis y reflexión entre los estudiantes y el profesor sobre los textos propuestos y los acontecimientos más relevantes de la actualidad internacional.</w:t>
      </w:r>
    </w:p>
    <w:p w14:paraId="356F33E4" w14:textId="45F3E8D8" w:rsidR="00036533" w:rsidRDefault="00036533" w:rsidP="00036533">
      <w:pPr>
        <w:tabs>
          <w:tab w:val="left" w:pos="1147"/>
        </w:tabs>
        <w:jc w:val="both"/>
        <w:rPr>
          <w:rFonts w:ascii="Garamond" w:hAnsi="Garamond"/>
          <w:sz w:val="24"/>
          <w:szCs w:val="24"/>
        </w:rPr>
      </w:pPr>
    </w:p>
    <w:p w14:paraId="3BA2AFD8" w14:textId="4A815918" w:rsidR="00EC0B5F" w:rsidRDefault="00CD146A" w:rsidP="00036533">
      <w:pPr>
        <w:tabs>
          <w:tab w:val="left" w:pos="1147"/>
        </w:tabs>
        <w:jc w:val="both"/>
        <w:rPr>
          <w:rFonts w:ascii="Garamond" w:hAnsi="Garamond"/>
          <w:b/>
          <w:bCs/>
          <w:sz w:val="24"/>
          <w:szCs w:val="24"/>
        </w:rPr>
      </w:pPr>
      <w:r>
        <w:rPr>
          <w:rFonts w:ascii="Garamond" w:hAnsi="Garamond"/>
          <w:b/>
          <w:bCs/>
          <w:sz w:val="24"/>
          <w:szCs w:val="24"/>
        </w:rPr>
        <w:t>CALENDARIO, HORARIOS DE CLASES Y TUTORÍAS</w:t>
      </w:r>
    </w:p>
    <w:p w14:paraId="50FA4E1A" w14:textId="4758DE0D" w:rsidR="00B12B5A" w:rsidRPr="00BC77D8" w:rsidRDefault="00B12B5A" w:rsidP="00BC77D8">
      <w:pPr>
        <w:tabs>
          <w:tab w:val="left" w:pos="1147"/>
        </w:tabs>
        <w:spacing w:after="0" w:line="240" w:lineRule="auto"/>
        <w:jc w:val="both"/>
        <w:rPr>
          <w:rFonts w:ascii="Garamond" w:hAnsi="Garamond"/>
          <w:sz w:val="24"/>
          <w:szCs w:val="24"/>
        </w:rPr>
      </w:pPr>
      <w:r w:rsidRPr="00BC77D8">
        <w:rPr>
          <w:rFonts w:ascii="Garamond" w:hAnsi="Garamond"/>
          <w:sz w:val="24"/>
          <w:szCs w:val="24"/>
        </w:rPr>
        <w:t>Calendario</w:t>
      </w:r>
      <w:r w:rsidR="002D72C5">
        <w:rPr>
          <w:rFonts w:ascii="Garamond" w:hAnsi="Garamond"/>
          <w:sz w:val="24"/>
          <w:szCs w:val="24"/>
        </w:rPr>
        <w:t>:</w:t>
      </w:r>
      <w:r w:rsidRPr="00BC77D8">
        <w:rPr>
          <w:rFonts w:ascii="Garamond" w:hAnsi="Garamond"/>
          <w:sz w:val="24"/>
          <w:szCs w:val="24"/>
        </w:rPr>
        <w:t xml:space="preserve"> </w:t>
      </w:r>
      <w:r w:rsidR="002D72C5">
        <w:rPr>
          <w:rFonts w:ascii="Garamond" w:hAnsi="Garamond"/>
          <w:sz w:val="24"/>
          <w:szCs w:val="24"/>
        </w:rPr>
        <w:tab/>
      </w:r>
      <w:r w:rsidRPr="00BC77D8">
        <w:rPr>
          <w:rFonts w:ascii="Garamond" w:hAnsi="Garamond"/>
          <w:sz w:val="24"/>
          <w:szCs w:val="24"/>
        </w:rPr>
        <w:t>Desde el 8 de septiembre al 12 de diciembre de 2025</w:t>
      </w:r>
    </w:p>
    <w:p w14:paraId="2D93271E" w14:textId="1FFE7CB4" w:rsidR="00B12B5A" w:rsidRPr="00BC77D8" w:rsidRDefault="00B12B5A" w:rsidP="00BC77D8">
      <w:pPr>
        <w:tabs>
          <w:tab w:val="left" w:pos="1147"/>
        </w:tabs>
        <w:spacing w:after="0" w:line="240" w:lineRule="auto"/>
        <w:jc w:val="both"/>
        <w:rPr>
          <w:rFonts w:ascii="Garamond" w:hAnsi="Garamond"/>
          <w:sz w:val="24"/>
          <w:szCs w:val="24"/>
        </w:rPr>
      </w:pPr>
      <w:r w:rsidRPr="00BC77D8">
        <w:rPr>
          <w:rFonts w:ascii="Garamond" w:hAnsi="Garamond"/>
          <w:sz w:val="24"/>
          <w:szCs w:val="24"/>
        </w:rPr>
        <w:t xml:space="preserve">Clases: </w:t>
      </w:r>
      <w:r w:rsidR="00BC77D8">
        <w:rPr>
          <w:rFonts w:ascii="Garamond" w:hAnsi="Garamond"/>
          <w:sz w:val="24"/>
          <w:szCs w:val="24"/>
        </w:rPr>
        <w:tab/>
      </w:r>
      <w:proofErr w:type="gramStart"/>
      <w:r w:rsidR="000D4570">
        <w:rPr>
          <w:rFonts w:ascii="Garamond" w:hAnsi="Garamond"/>
          <w:sz w:val="24"/>
          <w:szCs w:val="24"/>
        </w:rPr>
        <w:t>Miércoles</w:t>
      </w:r>
      <w:proofErr w:type="gramEnd"/>
      <w:r w:rsidR="000D4570">
        <w:rPr>
          <w:rFonts w:ascii="Garamond" w:hAnsi="Garamond"/>
          <w:sz w:val="24"/>
          <w:szCs w:val="24"/>
        </w:rPr>
        <w:t xml:space="preserve"> y Viernes</w:t>
      </w:r>
      <w:r w:rsidR="009034A5" w:rsidRPr="00BC77D8">
        <w:rPr>
          <w:rFonts w:ascii="Garamond" w:hAnsi="Garamond"/>
          <w:sz w:val="24"/>
          <w:szCs w:val="24"/>
        </w:rPr>
        <w:t xml:space="preserve"> </w:t>
      </w:r>
      <w:r w:rsidR="00541285" w:rsidRPr="00BC77D8">
        <w:rPr>
          <w:rFonts w:ascii="Garamond" w:hAnsi="Garamond"/>
          <w:sz w:val="24"/>
          <w:szCs w:val="24"/>
        </w:rPr>
        <w:t>(</w:t>
      </w:r>
      <w:r w:rsidR="006E3993" w:rsidRPr="00BC77D8">
        <w:rPr>
          <w:rFonts w:ascii="Garamond" w:hAnsi="Garamond"/>
          <w:sz w:val="24"/>
          <w:szCs w:val="24"/>
        </w:rPr>
        <w:t>1</w:t>
      </w:r>
      <w:r w:rsidR="000D4570">
        <w:rPr>
          <w:rFonts w:ascii="Garamond" w:hAnsi="Garamond"/>
          <w:sz w:val="24"/>
          <w:szCs w:val="24"/>
        </w:rPr>
        <w:t>9</w:t>
      </w:r>
      <w:r w:rsidR="006E3993" w:rsidRPr="00BC77D8">
        <w:rPr>
          <w:rFonts w:ascii="Garamond" w:hAnsi="Garamond"/>
          <w:sz w:val="24"/>
          <w:szCs w:val="24"/>
        </w:rPr>
        <w:t xml:space="preserve">:00 a </w:t>
      </w:r>
      <w:r w:rsidR="000D4570">
        <w:rPr>
          <w:rFonts w:ascii="Garamond" w:hAnsi="Garamond"/>
          <w:sz w:val="24"/>
          <w:szCs w:val="24"/>
        </w:rPr>
        <w:t>21</w:t>
      </w:r>
      <w:r w:rsidR="006E3993" w:rsidRPr="00BC77D8">
        <w:rPr>
          <w:rFonts w:ascii="Garamond" w:hAnsi="Garamond"/>
          <w:sz w:val="24"/>
          <w:szCs w:val="24"/>
        </w:rPr>
        <w:t xml:space="preserve">:00 </w:t>
      </w:r>
      <w:proofErr w:type="spellStart"/>
      <w:r w:rsidR="006E3993" w:rsidRPr="00BC77D8">
        <w:rPr>
          <w:rFonts w:ascii="Garamond" w:hAnsi="Garamond"/>
          <w:sz w:val="24"/>
          <w:szCs w:val="24"/>
        </w:rPr>
        <w:t>hrs</w:t>
      </w:r>
      <w:proofErr w:type="spellEnd"/>
      <w:r w:rsidR="006E3993" w:rsidRPr="00BC77D8">
        <w:rPr>
          <w:rFonts w:ascii="Garamond" w:hAnsi="Garamond"/>
          <w:sz w:val="24"/>
          <w:szCs w:val="24"/>
        </w:rPr>
        <w:t>)</w:t>
      </w:r>
    </w:p>
    <w:p w14:paraId="0150846A" w14:textId="0A084397" w:rsidR="00B12B5A" w:rsidRPr="00BC77D8" w:rsidRDefault="00B12B5A" w:rsidP="00BC77D8">
      <w:pPr>
        <w:tabs>
          <w:tab w:val="left" w:pos="1147"/>
        </w:tabs>
        <w:spacing w:after="0" w:line="240" w:lineRule="auto"/>
        <w:jc w:val="both"/>
        <w:rPr>
          <w:rFonts w:ascii="Garamond" w:hAnsi="Garamond"/>
          <w:sz w:val="24"/>
          <w:szCs w:val="24"/>
        </w:rPr>
      </w:pPr>
      <w:r w:rsidRPr="00BC77D8">
        <w:rPr>
          <w:rFonts w:ascii="Garamond" w:hAnsi="Garamond"/>
          <w:sz w:val="24"/>
          <w:szCs w:val="24"/>
        </w:rPr>
        <w:t>Aula</w:t>
      </w:r>
      <w:r w:rsidR="00315AC8">
        <w:rPr>
          <w:rFonts w:ascii="Garamond" w:hAnsi="Garamond"/>
          <w:sz w:val="24"/>
          <w:szCs w:val="24"/>
        </w:rPr>
        <w:t>s</w:t>
      </w:r>
      <w:r w:rsidR="00BC77D8">
        <w:rPr>
          <w:rFonts w:ascii="Garamond" w:hAnsi="Garamond"/>
          <w:sz w:val="24"/>
          <w:szCs w:val="24"/>
        </w:rPr>
        <w:t xml:space="preserve">: </w:t>
      </w:r>
      <w:r w:rsidR="00BC77D8">
        <w:rPr>
          <w:rFonts w:ascii="Garamond" w:hAnsi="Garamond"/>
          <w:sz w:val="24"/>
          <w:szCs w:val="24"/>
        </w:rPr>
        <w:tab/>
      </w:r>
      <w:proofErr w:type="gramStart"/>
      <w:r w:rsidR="00315AC8">
        <w:rPr>
          <w:rFonts w:ascii="Garamond" w:hAnsi="Garamond"/>
          <w:sz w:val="24"/>
          <w:szCs w:val="24"/>
        </w:rPr>
        <w:t>Miércoles</w:t>
      </w:r>
      <w:proofErr w:type="gramEnd"/>
      <w:r w:rsidR="00315AC8">
        <w:rPr>
          <w:rFonts w:ascii="Garamond" w:hAnsi="Garamond"/>
          <w:sz w:val="24"/>
          <w:szCs w:val="24"/>
        </w:rPr>
        <w:t>: NT 115 y Viernes: NT 104</w:t>
      </w:r>
    </w:p>
    <w:p w14:paraId="08F49A2C" w14:textId="6ECF4641" w:rsidR="00B12B5A" w:rsidRPr="00BC77D8" w:rsidRDefault="00B12B5A" w:rsidP="00BC77D8">
      <w:pPr>
        <w:tabs>
          <w:tab w:val="left" w:pos="1147"/>
        </w:tabs>
        <w:spacing w:after="0" w:line="240" w:lineRule="auto"/>
        <w:jc w:val="both"/>
        <w:rPr>
          <w:rFonts w:ascii="Garamond" w:hAnsi="Garamond"/>
          <w:sz w:val="24"/>
          <w:szCs w:val="24"/>
        </w:rPr>
      </w:pPr>
      <w:r w:rsidRPr="00BC77D8">
        <w:rPr>
          <w:rFonts w:ascii="Garamond" w:hAnsi="Garamond"/>
          <w:sz w:val="24"/>
          <w:szCs w:val="24"/>
        </w:rPr>
        <w:t xml:space="preserve">Tutorías: </w:t>
      </w:r>
      <w:r w:rsidR="00BC77D8">
        <w:rPr>
          <w:rFonts w:ascii="Garamond" w:hAnsi="Garamond"/>
          <w:sz w:val="24"/>
          <w:szCs w:val="24"/>
        </w:rPr>
        <w:tab/>
      </w:r>
      <w:r w:rsidRPr="00BC77D8">
        <w:rPr>
          <w:rFonts w:ascii="Garamond" w:hAnsi="Garamond"/>
          <w:sz w:val="24"/>
          <w:szCs w:val="24"/>
        </w:rPr>
        <w:t>Despacho o telemática (con cita previa vía email)</w:t>
      </w:r>
    </w:p>
    <w:p w14:paraId="4406E4BF" w14:textId="7A5FBD20" w:rsidR="00CD146A" w:rsidRDefault="00BC77D8" w:rsidP="00BC77D8">
      <w:pPr>
        <w:tabs>
          <w:tab w:val="left" w:pos="1147"/>
        </w:tabs>
        <w:spacing w:after="0" w:line="240" w:lineRule="auto"/>
        <w:jc w:val="both"/>
        <w:rPr>
          <w:rFonts w:ascii="Garamond" w:hAnsi="Garamond"/>
          <w:sz w:val="24"/>
          <w:szCs w:val="24"/>
        </w:rPr>
      </w:pPr>
      <w:r>
        <w:rPr>
          <w:rFonts w:ascii="Garamond" w:hAnsi="Garamond"/>
          <w:sz w:val="24"/>
          <w:szCs w:val="24"/>
        </w:rPr>
        <w:tab/>
      </w:r>
      <w:r w:rsidR="009D14B4">
        <w:rPr>
          <w:rFonts w:ascii="Garamond" w:hAnsi="Garamond"/>
          <w:sz w:val="24"/>
          <w:szCs w:val="24"/>
        </w:rPr>
        <w:t xml:space="preserve">Miércoles y </w:t>
      </w:r>
      <w:proofErr w:type="gramStart"/>
      <w:r w:rsidR="009D14B4">
        <w:rPr>
          <w:rFonts w:ascii="Garamond" w:hAnsi="Garamond"/>
          <w:sz w:val="24"/>
          <w:szCs w:val="24"/>
        </w:rPr>
        <w:t>Viernes</w:t>
      </w:r>
      <w:proofErr w:type="gramEnd"/>
      <w:r w:rsidR="00B12B5A" w:rsidRPr="00BC77D8">
        <w:rPr>
          <w:rFonts w:ascii="Garamond" w:hAnsi="Garamond"/>
          <w:sz w:val="24"/>
          <w:szCs w:val="24"/>
        </w:rPr>
        <w:t xml:space="preserve"> (1</w:t>
      </w:r>
      <w:r w:rsidR="00CC19E2">
        <w:rPr>
          <w:rFonts w:ascii="Garamond" w:hAnsi="Garamond"/>
          <w:sz w:val="24"/>
          <w:szCs w:val="24"/>
        </w:rPr>
        <w:t>6</w:t>
      </w:r>
      <w:r w:rsidR="006E3993" w:rsidRPr="00BC77D8">
        <w:rPr>
          <w:rFonts w:ascii="Garamond" w:hAnsi="Garamond"/>
          <w:sz w:val="24"/>
          <w:szCs w:val="24"/>
        </w:rPr>
        <w:t>:00</w:t>
      </w:r>
      <w:r w:rsidR="00967620" w:rsidRPr="00BC77D8">
        <w:rPr>
          <w:rFonts w:ascii="Garamond" w:hAnsi="Garamond"/>
          <w:sz w:val="24"/>
          <w:szCs w:val="24"/>
        </w:rPr>
        <w:t xml:space="preserve"> </w:t>
      </w:r>
      <w:r w:rsidR="0012099D">
        <w:rPr>
          <w:rFonts w:ascii="Garamond" w:hAnsi="Garamond"/>
          <w:sz w:val="24"/>
          <w:szCs w:val="24"/>
        </w:rPr>
        <w:t xml:space="preserve">a </w:t>
      </w:r>
      <w:r w:rsidR="00B12B5A" w:rsidRPr="00BC77D8">
        <w:rPr>
          <w:rFonts w:ascii="Garamond" w:hAnsi="Garamond"/>
          <w:sz w:val="24"/>
          <w:szCs w:val="24"/>
        </w:rPr>
        <w:t>1</w:t>
      </w:r>
      <w:r w:rsidR="00CC19E2">
        <w:rPr>
          <w:rFonts w:ascii="Garamond" w:hAnsi="Garamond"/>
          <w:sz w:val="24"/>
          <w:szCs w:val="24"/>
        </w:rPr>
        <w:t>7</w:t>
      </w:r>
      <w:r w:rsidR="0012099D">
        <w:rPr>
          <w:rFonts w:ascii="Garamond" w:hAnsi="Garamond"/>
          <w:sz w:val="24"/>
          <w:szCs w:val="24"/>
        </w:rPr>
        <w:t xml:space="preserve">:30 </w:t>
      </w:r>
      <w:proofErr w:type="spellStart"/>
      <w:r w:rsidR="0012099D">
        <w:rPr>
          <w:rFonts w:ascii="Garamond" w:hAnsi="Garamond"/>
          <w:sz w:val="24"/>
          <w:szCs w:val="24"/>
        </w:rPr>
        <w:t>hrs</w:t>
      </w:r>
      <w:proofErr w:type="spellEnd"/>
      <w:r w:rsidR="00B12B5A" w:rsidRPr="00BC77D8">
        <w:rPr>
          <w:rFonts w:ascii="Garamond" w:hAnsi="Garamond"/>
          <w:sz w:val="24"/>
          <w:szCs w:val="24"/>
        </w:rPr>
        <w:t>)</w:t>
      </w:r>
    </w:p>
    <w:p w14:paraId="54233874" w14:textId="77777777" w:rsidR="00EF5E9B" w:rsidRDefault="00EF5E9B" w:rsidP="00EF5E9B">
      <w:pPr>
        <w:rPr>
          <w:rFonts w:ascii="Garamond" w:hAnsi="Garamond"/>
          <w:sz w:val="24"/>
          <w:szCs w:val="24"/>
        </w:rPr>
      </w:pPr>
    </w:p>
    <w:p w14:paraId="4A64B08E" w14:textId="127A113D" w:rsidR="00EF5E9B" w:rsidRDefault="00EF5E9B" w:rsidP="00EF5E9B">
      <w:pPr>
        <w:rPr>
          <w:rFonts w:ascii="Garamond" w:hAnsi="Garamond"/>
          <w:b/>
          <w:bCs/>
          <w:sz w:val="24"/>
          <w:szCs w:val="24"/>
        </w:rPr>
      </w:pPr>
      <w:r w:rsidRPr="00EF5E9B">
        <w:rPr>
          <w:rFonts w:ascii="Garamond" w:hAnsi="Garamond"/>
          <w:b/>
          <w:bCs/>
          <w:sz w:val="24"/>
          <w:szCs w:val="24"/>
        </w:rPr>
        <w:t>CRITERIOS DE EVALUACIÓN</w:t>
      </w:r>
    </w:p>
    <w:p w14:paraId="6277DEE6" w14:textId="74E5BF6A" w:rsidR="00D417B0" w:rsidRPr="00C63004" w:rsidRDefault="006D6AE6" w:rsidP="00D417B0">
      <w:pPr>
        <w:rPr>
          <w:rFonts w:ascii="Garamond" w:hAnsi="Garamond"/>
          <w:sz w:val="24"/>
          <w:szCs w:val="24"/>
        </w:rPr>
      </w:pPr>
      <w:r w:rsidRPr="00C63004">
        <w:rPr>
          <w:rFonts w:ascii="Garamond" w:hAnsi="Garamond"/>
          <w:sz w:val="24"/>
          <w:szCs w:val="24"/>
        </w:rPr>
        <w:t>PARTICIPACIÓN</w:t>
      </w:r>
      <w:r w:rsidRPr="00C63004">
        <w:rPr>
          <w:rFonts w:ascii="Garamond" w:hAnsi="Garamond"/>
          <w:sz w:val="24"/>
          <w:szCs w:val="24"/>
        </w:rPr>
        <w:tab/>
      </w:r>
      <w:r w:rsidR="00D35BFF">
        <w:rPr>
          <w:rFonts w:ascii="Garamond" w:hAnsi="Garamond"/>
          <w:sz w:val="24"/>
          <w:szCs w:val="24"/>
        </w:rPr>
        <w:t>2</w:t>
      </w:r>
      <w:r w:rsidR="00CB0A91" w:rsidRPr="00C63004">
        <w:rPr>
          <w:rFonts w:ascii="Garamond" w:hAnsi="Garamond"/>
          <w:sz w:val="24"/>
          <w:szCs w:val="24"/>
        </w:rPr>
        <w:t xml:space="preserve">0% </w:t>
      </w:r>
      <w:r w:rsidR="00D417B0" w:rsidRPr="00C63004">
        <w:rPr>
          <w:rFonts w:ascii="Garamond" w:hAnsi="Garamond"/>
          <w:sz w:val="24"/>
          <w:szCs w:val="24"/>
        </w:rPr>
        <w:t xml:space="preserve">Asistencia y participación </w:t>
      </w:r>
      <w:r w:rsidR="00675899">
        <w:rPr>
          <w:rFonts w:ascii="Garamond" w:hAnsi="Garamond"/>
          <w:sz w:val="24"/>
          <w:szCs w:val="24"/>
        </w:rPr>
        <w:t>en clase</w:t>
      </w:r>
      <w:r w:rsidR="00B741AD">
        <w:rPr>
          <w:rFonts w:ascii="Garamond" w:hAnsi="Garamond"/>
          <w:sz w:val="24"/>
          <w:szCs w:val="24"/>
        </w:rPr>
        <w:t>s</w:t>
      </w:r>
      <w:r w:rsidR="00074814">
        <w:rPr>
          <w:rFonts w:ascii="Garamond" w:hAnsi="Garamond"/>
          <w:sz w:val="24"/>
          <w:szCs w:val="24"/>
        </w:rPr>
        <w:t xml:space="preserve">. </w:t>
      </w:r>
    </w:p>
    <w:p w14:paraId="766080CE" w14:textId="5EDE7080" w:rsidR="00D417B0" w:rsidRDefault="007175D2" w:rsidP="007175D2">
      <w:pPr>
        <w:ind w:left="2124" w:hanging="2124"/>
        <w:rPr>
          <w:rFonts w:ascii="Garamond" w:hAnsi="Garamond"/>
          <w:sz w:val="24"/>
          <w:szCs w:val="24"/>
        </w:rPr>
      </w:pPr>
      <w:r w:rsidRPr="00C63004">
        <w:rPr>
          <w:rFonts w:ascii="Garamond" w:hAnsi="Garamond"/>
          <w:sz w:val="24"/>
          <w:szCs w:val="24"/>
        </w:rPr>
        <w:t>PRÁCTICAS</w:t>
      </w:r>
      <w:r w:rsidRPr="00C63004">
        <w:rPr>
          <w:rFonts w:ascii="Garamond" w:hAnsi="Garamond"/>
          <w:sz w:val="24"/>
          <w:szCs w:val="24"/>
        </w:rPr>
        <w:tab/>
      </w:r>
      <w:r w:rsidR="000D5257">
        <w:rPr>
          <w:rFonts w:ascii="Garamond" w:hAnsi="Garamond"/>
          <w:sz w:val="24"/>
          <w:szCs w:val="24"/>
        </w:rPr>
        <w:t>3</w:t>
      </w:r>
      <w:r w:rsidRPr="00C63004">
        <w:rPr>
          <w:rFonts w:ascii="Garamond" w:hAnsi="Garamond"/>
          <w:sz w:val="24"/>
          <w:szCs w:val="24"/>
        </w:rPr>
        <w:t xml:space="preserve">0% </w:t>
      </w:r>
      <w:r w:rsidR="00D417B0" w:rsidRPr="00C63004">
        <w:rPr>
          <w:rFonts w:ascii="Garamond" w:hAnsi="Garamond"/>
          <w:sz w:val="24"/>
          <w:szCs w:val="24"/>
        </w:rPr>
        <w:t xml:space="preserve">Realización y </w:t>
      </w:r>
      <w:r w:rsidR="00B606B6">
        <w:rPr>
          <w:rFonts w:ascii="Garamond" w:hAnsi="Garamond"/>
          <w:sz w:val="24"/>
          <w:szCs w:val="24"/>
        </w:rPr>
        <w:t>presentación</w:t>
      </w:r>
      <w:r w:rsidR="00D417B0" w:rsidRPr="00C63004">
        <w:rPr>
          <w:rFonts w:ascii="Garamond" w:hAnsi="Garamond"/>
          <w:sz w:val="24"/>
          <w:szCs w:val="24"/>
        </w:rPr>
        <w:t xml:space="preserve"> de trabajos</w:t>
      </w:r>
      <w:r w:rsidR="00A9470A" w:rsidRPr="00C63004">
        <w:rPr>
          <w:rFonts w:ascii="Garamond" w:hAnsi="Garamond"/>
          <w:sz w:val="24"/>
          <w:szCs w:val="24"/>
        </w:rPr>
        <w:t xml:space="preserve"> prácticos</w:t>
      </w:r>
      <w:r w:rsidR="00D417B0" w:rsidRPr="00C63004">
        <w:rPr>
          <w:rFonts w:ascii="Garamond" w:hAnsi="Garamond"/>
          <w:sz w:val="24"/>
          <w:szCs w:val="24"/>
        </w:rPr>
        <w:t xml:space="preserve"> de forma individual y/o colectiva</w:t>
      </w:r>
      <w:r w:rsidRPr="00C63004">
        <w:rPr>
          <w:rFonts w:ascii="Garamond" w:hAnsi="Garamond"/>
          <w:sz w:val="24"/>
          <w:szCs w:val="24"/>
        </w:rPr>
        <w:t>.</w:t>
      </w:r>
    </w:p>
    <w:p w14:paraId="6613AA0D" w14:textId="6C62AF84" w:rsidR="000D5257" w:rsidRPr="00C63004" w:rsidRDefault="00B606B6" w:rsidP="007175D2">
      <w:pPr>
        <w:ind w:left="2124" w:hanging="2124"/>
        <w:rPr>
          <w:rFonts w:ascii="Garamond" w:hAnsi="Garamond"/>
          <w:sz w:val="24"/>
          <w:szCs w:val="24"/>
        </w:rPr>
      </w:pPr>
      <w:r>
        <w:rPr>
          <w:rFonts w:ascii="Garamond" w:hAnsi="Garamond"/>
          <w:sz w:val="24"/>
          <w:szCs w:val="24"/>
        </w:rPr>
        <w:t>EXPOSICIÓN</w:t>
      </w:r>
      <w:r>
        <w:rPr>
          <w:rFonts w:ascii="Garamond" w:hAnsi="Garamond"/>
          <w:sz w:val="24"/>
          <w:szCs w:val="24"/>
        </w:rPr>
        <w:tab/>
      </w:r>
      <w:r w:rsidR="00F077F4">
        <w:rPr>
          <w:rFonts w:ascii="Garamond" w:hAnsi="Garamond"/>
          <w:sz w:val="24"/>
          <w:szCs w:val="24"/>
        </w:rPr>
        <w:t>2</w:t>
      </w:r>
      <w:r>
        <w:rPr>
          <w:rFonts w:ascii="Garamond" w:hAnsi="Garamond"/>
          <w:sz w:val="24"/>
          <w:szCs w:val="24"/>
        </w:rPr>
        <w:t>0%</w:t>
      </w:r>
      <w:r w:rsidR="009612B6">
        <w:rPr>
          <w:rFonts w:ascii="Garamond" w:hAnsi="Garamond"/>
          <w:sz w:val="24"/>
          <w:szCs w:val="24"/>
        </w:rPr>
        <w:t xml:space="preserve"> E</w:t>
      </w:r>
      <w:r w:rsidR="00F712B0">
        <w:rPr>
          <w:rFonts w:ascii="Garamond" w:hAnsi="Garamond"/>
          <w:sz w:val="24"/>
          <w:szCs w:val="24"/>
        </w:rPr>
        <w:t>ntrega</w:t>
      </w:r>
      <w:r w:rsidR="00F077F4">
        <w:rPr>
          <w:rFonts w:ascii="Garamond" w:hAnsi="Garamond"/>
          <w:sz w:val="24"/>
          <w:szCs w:val="24"/>
        </w:rPr>
        <w:t xml:space="preserve"> y exposición pública</w:t>
      </w:r>
      <w:r w:rsidR="00F712B0">
        <w:rPr>
          <w:rFonts w:ascii="Garamond" w:hAnsi="Garamond"/>
          <w:sz w:val="24"/>
          <w:szCs w:val="24"/>
        </w:rPr>
        <w:t xml:space="preserve"> de un trabajo en grupo.</w:t>
      </w:r>
      <w:r>
        <w:rPr>
          <w:rFonts w:ascii="Garamond" w:hAnsi="Garamond"/>
          <w:sz w:val="24"/>
          <w:szCs w:val="24"/>
        </w:rPr>
        <w:t xml:space="preserve"> </w:t>
      </w:r>
    </w:p>
    <w:p w14:paraId="2F1C89F8" w14:textId="1E196C91" w:rsidR="00B741AD" w:rsidRDefault="00D417B0" w:rsidP="00912BE7">
      <w:pPr>
        <w:rPr>
          <w:rFonts w:ascii="Garamond" w:hAnsi="Garamond"/>
          <w:sz w:val="24"/>
          <w:szCs w:val="24"/>
        </w:rPr>
      </w:pPr>
      <w:r w:rsidRPr="00C63004">
        <w:rPr>
          <w:rFonts w:ascii="Garamond" w:hAnsi="Garamond"/>
          <w:sz w:val="24"/>
          <w:szCs w:val="24"/>
        </w:rPr>
        <w:t>E</w:t>
      </w:r>
      <w:r w:rsidR="00E20F8C">
        <w:rPr>
          <w:rFonts w:ascii="Garamond" w:hAnsi="Garamond"/>
          <w:sz w:val="24"/>
          <w:szCs w:val="24"/>
        </w:rPr>
        <w:t>XAMEN</w:t>
      </w:r>
      <w:r w:rsidR="00E20F8C">
        <w:rPr>
          <w:rFonts w:ascii="Garamond" w:hAnsi="Garamond"/>
          <w:sz w:val="24"/>
          <w:szCs w:val="24"/>
        </w:rPr>
        <w:tab/>
      </w:r>
      <w:r w:rsidR="00E20F8C">
        <w:rPr>
          <w:rFonts w:ascii="Garamond" w:hAnsi="Garamond"/>
          <w:sz w:val="24"/>
          <w:szCs w:val="24"/>
        </w:rPr>
        <w:tab/>
      </w:r>
      <w:r w:rsidR="003C42CD">
        <w:rPr>
          <w:rFonts w:ascii="Garamond" w:hAnsi="Garamond"/>
          <w:sz w:val="24"/>
          <w:szCs w:val="24"/>
        </w:rPr>
        <w:t>3</w:t>
      </w:r>
      <w:r w:rsidR="00E20F8C">
        <w:rPr>
          <w:rFonts w:ascii="Garamond" w:hAnsi="Garamond"/>
          <w:sz w:val="24"/>
          <w:szCs w:val="24"/>
        </w:rPr>
        <w:t xml:space="preserve">0% </w:t>
      </w:r>
      <w:r w:rsidR="00E705C9">
        <w:rPr>
          <w:rFonts w:ascii="Garamond" w:hAnsi="Garamond"/>
          <w:sz w:val="24"/>
          <w:szCs w:val="24"/>
        </w:rPr>
        <w:t>E</w:t>
      </w:r>
      <w:r w:rsidR="00F3010F">
        <w:rPr>
          <w:rFonts w:ascii="Garamond" w:hAnsi="Garamond"/>
          <w:sz w:val="24"/>
          <w:szCs w:val="24"/>
        </w:rPr>
        <w:t>xamen final</w:t>
      </w:r>
      <w:r w:rsidR="00A6789E">
        <w:rPr>
          <w:rFonts w:ascii="Garamond" w:hAnsi="Garamond"/>
          <w:sz w:val="24"/>
          <w:szCs w:val="24"/>
        </w:rPr>
        <w:t xml:space="preserve">. </w:t>
      </w:r>
    </w:p>
    <w:p w14:paraId="1100D4B5" w14:textId="77777777" w:rsidR="00912BE7" w:rsidRDefault="00912BE7" w:rsidP="00912BE7">
      <w:pPr>
        <w:rPr>
          <w:rFonts w:ascii="Garamond" w:hAnsi="Garamond"/>
          <w:sz w:val="24"/>
          <w:szCs w:val="24"/>
        </w:rPr>
      </w:pPr>
    </w:p>
    <w:p w14:paraId="49529815" w14:textId="13654231" w:rsidR="0060468D" w:rsidRDefault="0014662D" w:rsidP="00B6534F">
      <w:pPr>
        <w:tabs>
          <w:tab w:val="left" w:pos="1147"/>
        </w:tabs>
        <w:spacing w:after="0" w:line="240" w:lineRule="auto"/>
        <w:jc w:val="both"/>
        <w:rPr>
          <w:rFonts w:ascii="Garamond" w:hAnsi="Garamond"/>
          <w:b/>
          <w:bCs/>
          <w:sz w:val="24"/>
          <w:szCs w:val="24"/>
        </w:rPr>
      </w:pPr>
      <w:r>
        <w:rPr>
          <w:rFonts w:ascii="Garamond" w:hAnsi="Garamond"/>
          <w:b/>
          <w:bCs/>
          <w:sz w:val="24"/>
          <w:szCs w:val="24"/>
        </w:rPr>
        <w:t>NORMAS Y DIRECTRICES</w:t>
      </w:r>
      <w:r w:rsidR="00425530">
        <w:rPr>
          <w:rFonts w:ascii="Garamond" w:hAnsi="Garamond"/>
          <w:b/>
          <w:bCs/>
          <w:sz w:val="24"/>
          <w:szCs w:val="24"/>
        </w:rPr>
        <w:t xml:space="preserve"> DEL CURSO</w:t>
      </w:r>
    </w:p>
    <w:p w14:paraId="1351BEA3" w14:textId="77777777" w:rsidR="00425530" w:rsidRPr="00425530" w:rsidRDefault="00425530" w:rsidP="00425530">
      <w:pPr>
        <w:tabs>
          <w:tab w:val="left" w:pos="1147"/>
        </w:tabs>
        <w:spacing w:after="0" w:line="240" w:lineRule="auto"/>
        <w:jc w:val="both"/>
        <w:rPr>
          <w:rFonts w:ascii="Garamond" w:hAnsi="Garamond"/>
          <w:sz w:val="24"/>
          <w:szCs w:val="24"/>
        </w:rPr>
      </w:pPr>
    </w:p>
    <w:p w14:paraId="144AEC17" w14:textId="0A1EC591" w:rsidR="00425530" w:rsidRPr="00425530" w:rsidRDefault="003E4F45" w:rsidP="00425530">
      <w:pPr>
        <w:tabs>
          <w:tab w:val="left" w:pos="1147"/>
        </w:tabs>
        <w:spacing w:after="0" w:line="240" w:lineRule="auto"/>
        <w:jc w:val="both"/>
        <w:rPr>
          <w:rFonts w:ascii="Garamond" w:hAnsi="Garamond"/>
          <w:sz w:val="24"/>
          <w:szCs w:val="24"/>
        </w:rPr>
      </w:pPr>
      <w:r>
        <w:rPr>
          <w:rFonts w:ascii="Garamond" w:hAnsi="Garamond"/>
          <w:b/>
          <w:bCs/>
          <w:sz w:val="24"/>
          <w:szCs w:val="24"/>
        </w:rPr>
        <w:t xml:space="preserve">Sobre </w:t>
      </w:r>
      <w:r w:rsidR="00425530" w:rsidRPr="00425530">
        <w:rPr>
          <w:rFonts w:ascii="Garamond" w:hAnsi="Garamond"/>
          <w:b/>
          <w:bCs/>
          <w:sz w:val="24"/>
          <w:szCs w:val="24"/>
        </w:rPr>
        <w:t xml:space="preserve">Asistencia y </w:t>
      </w:r>
      <w:r w:rsidR="00B3756E">
        <w:rPr>
          <w:rFonts w:ascii="Garamond" w:hAnsi="Garamond"/>
          <w:b/>
          <w:bCs/>
          <w:sz w:val="24"/>
          <w:szCs w:val="24"/>
        </w:rPr>
        <w:t>p</w:t>
      </w:r>
      <w:r w:rsidR="00425530" w:rsidRPr="00425530">
        <w:rPr>
          <w:rFonts w:ascii="Garamond" w:hAnsi="Garamond"/>
          <w:b/>
          <w:bCs/>
          <w:sz w:val="24"/>
          <w:szCs w:val="24"/>
        </w:rPr>
        <w:t>untualidad</w:t>
      </w:r>
      <w:r w:rsidR="00425530">
        <w:rPr>
          <w:rFonts w:ascii="Garamond" w:hAnsi="Garamond"/>
          <w:b/>
          <w:bCs/>
          <w:sz w:val="24"/>
          <w:szCs w:val="24"/>
        </w:rPr>
        <w:t xml:space="preserve">. </w:t>
      </w:r>
      <w:r w:rsidR="00425530" w:rsidRPr="00425530">
        <w:rPr>
          <w:rFonts w:ascii="Garamond" w:hAnsi="Garamond"/>
          <w:sz w:val="24"/>
          <w:szCs w:val="24"/>
        </w:rPr>
        <w:t>Conforme a la decisión de la Junta de Facultad del 13 de marzo de 2012, es obligatoria la asistencia a un mínimo del 85% de las clases teóricas y prácticas. Las ausencias injustificadas afectarán negativamente a la calificación final en el apartado de participación. Se ruega llegar a tiempo para no interrumpir el desarrollo de la clase.</w:t>
      </w:r>
    </w:p>
    <w:p w14:paraId="194FE26F" w14:textId="77777777" w:rsidR="00425530" w:rsidRPr="00425530" w:rsidRDefault="00425530" w:rsidP="00425530">
      <w:pPr>
        <w:tabs>
          <w:tab w:val="left" w:pos="1147"/>
        </w:tabs>
        <w:spacing w:after="0" w:line="240" w:lineRule="auto"/>
        <w:jc w:val="both"/>
        <w:rPr>
          <w:rFonts w:ascii="Garamond" w:hAnsi="Garamond"/>
          <w:b/>
          <w:bCs/>
          <w:sz w:val="24"/>
          <w:szCs w:val="24"/>
        </w:rPr>
      </w:pPr>
    </w:p>
    <w:p w14:paraId="4D208A86" w14:textId="7AAE1763" w:rsidR="00425530" w:rsidRPr="00454431" w:rsidRDefault="003E4F45" w:rsidP="00425530">
      <w:pPr>
        <w:tabs>
          <w:tab w:val="left" w:pos="1147"/>
        </w:tabs>
        <w:spacing w:after="0" w:line="240" w:lineRule="auto"/>
        <w:jc w:val="both"/>
        <w:rPr>
          <w:rFonts w:ascii="Garamond" w:hAnsi="Garamond"/>
          <w:b/>
          <w:bCs/>
          <w:sz w:val="24"/>
          <w:szCs w:val="24"/>
        </w:rPr>
      </w:pPr>
      <w:r>
        <w:rPr>
          <w:rFonts w:ascii="Garamond" w:hAnsi="Garamond"/>
          <w:b/>
          <w:bCs/>
          <w:sz w:val="24"/>
          <w:szCs w:val="24"/>
        </w:rPr>
        <w:t xml:space="preserve">Sobre </w:t>
      </w:r>
      <w:r w:rsidR="00425530" w:rsidRPr="00425530">
        <w:rPr>
          <w:rFonts w:ascii="Garamond" w:hAnsi="Garamond"/>
          <w:b/>
          <w:bCs/>
          <w:sz w:val="24"/>
          <w:szCs w:val="24"/>
        </w:rPr>
        <w:t xml:space="preserve">Evaluaciones y </w:t>
      </w:r>
      <w:r w:rsidR="00B3756E">
        <w:rPr>
          <w:rFonts w:ascii="Garamond" w:hAnsi="Garamond"/>
          <w:b/>
          <w:bCs/>
          <w:sz w:val="24"/>
          <w:szCs w:val="24"/>
        </w:rPr>
        <w:t>e</w:t>
      </w:r>
      <w:r w:rsidR="00425530" w:rsidRPr="00425530">
        <w:rPr>
          <w:rFonts w:ascii="Garamond" w:hAnsi="Garamond"/>
          <w:b/>
          <w:bCs/>
          <w:sz w:val="24"/>
          <w:szCs w:val="24"/>
        </w:rPr>
        <w:t xml:space="preserve">ntrega de </w:t>
      </w:r>
      <w:r w:rsidR="00B3756E">
        <w:rPr>
          <w:rFonts w:ascii="Garamond" w:hAnsi="Garamond"/>
          <w:b/>
          <w:bCs/>
          <w:sz w:val="24"/>
          <w:szCs w:val="24"/>
        </w:rPr>
        <w:t>a</w:t>
      </w:r>
      <w:r w:rsidR="00425530" w:rsidRPr="00425530">
        <w:rPr>
          <w:rFonts w:ascii="Garamond" w:hAnsi="Garamond"/>
          <w:b/>
          <w:bCs/>
          <w:sz w:val="24"/>
          <w:szCs w:val="24"/>
        </w:rPr>
        <w:t>ctividades</w:t>
      </w:r>
      <w:r w:rsidR="00425530">
        <w:rPr>
          <w:rFonts w:ascii="Garamond" w:hAnsi="Garamond"/>
          <w:b/>
          <w:bCs/>
          <w:sz w:val="24"/>
          <w:szCs w:val="24"/>
        </w:rPr>
        <w:t xml:space="preserve">. </w:t>
      </w:r>
      <w:r w:rsidR="00425530" w:rsidRPr="00425530">
        <w:rPr>
          <w:rFonts w:ascii="Garamond" w:hAnsi="Garamond"/>
          <w:sz w:val="24"/>
          <w:szCs w:val="24"/>
        </w:rPr>
        <w:t>Si bien todos los estudiantes tienen derecho a presentarse al examen final, este solo representa un porcentaje de la nota. La calificación final se compone de diversas evaluaciones y actividades prácticas, según se especifica en el programa de la asignatura.</w:t>
      </w:r>
      <w:r w:rsidR="00454431">
        <w:rPr>
          <w:rFonts w:ascii="Garamond" w:hAnsi="Garamond"/>
          <w:b/>
          <w:bCs/>
          <w:sz w:val="24"/>
          <w:szCs w:val="24"/>
        </w:rPr>
        <w:t xml:space="preserve"> </w:t>
      </w:r>
      <w:r w:rsidR="00425530" w:rsidRPr="00454431">
        <w:rPr>
          <w:rFonts w:ascii="Garamond" w:hAnsi="Garamond"/>
          <w:sz w:val="24"/>
          <w:szCs w:val="24"/>
        </w:rPr>
        <w:t>El profesor indicará con antelación la fecha y el canal de entrega de cada actividad, que habitualmente será el campus virtual. No se aceptarán trabajos fuera del plazo o que no cumplan con las indicaciones establecidas.</w:t>
      </w:r>
    </w:p>
    <w:p w14:paraId="746F0726" w14:textId="77777777" w:rsidR="00425530" w:rsidRPr="00425530" w:rsidRDefault="00425530" w:rsidP="00425530">
      <w:pPr>
        <w:tabs>
          <w:tab w:val="left" w:pos="1147"/>
        </w:tabs>
        <w:spacing w:after="0" w:line="240" w:lineRule="auto"/>
        <w:jc w:val="both"/>
        <w:rPr>
          <w:rFonts w:ascii="Garamond" w:hAnsi="Garamond"/>
          <w:b/>
          <w:bCs/>
          <w:sz w:val="24"/>
          <w:szCs w:val="24"/>
        </w:rPr>
      </w:pPr>
    </w:p>
    <w:p w14:paraId="61139108" w14:textId="6DF2E337" w:rsidR="00425530" w:rsidRDefault="003E4F45" w:rsidP="00425530">
      <w:pPr>
        <w:tabs>
          <w:tab w:val="left" w:pos="1147"/>
        </w:tabs>
        <w:spacing w:after="0" w:line="240" w:lineRule="auto"/>
        <w:jc w:val="both"/>
        <w:rPr>
          <w:rFonts w:ascii="Garamond" w:hAnsi="Garamond"/>
          <w:sz w:val="24"/>
          <w:szCs w:val="24"/>
        </w:rPr>
      </w:pPr>
      <w:r>
        <w:rPr>
          <w:rFonts w:ascii="Garamond" w:hAnsi="Garamond"/>
          <w:b/>
          <w:bCs/>
          <w:sz w:val="24"/>
          <w:szCs w:val="24"/>
        </w:rPr>
        <w:t>Sobre</w:t>
      </w:r>
      <w:r w:rsidR="00425530" w:rsidRPr="00425530">
        <w:rPr>
          <w:rFonts w:ascii="Garamond" w:hAnsi="Garamond"/>
          <w:b/>
          <w:bCs/>
          <w:sz w:val="24"/>
          <w:szCs w:val="24"/>
        </w:rPr>
        <w:t xml:space="preserve"> Desarrollo de las </w:t>
      </w:r>
      <w:r w:rsidR="00B3756E">
        <w:rPr>
          <w:rFonts w:ascii="Garamond" w:hAnsi="Garamond"/>
          <w:b/>
          <w:bCs/>
          <w:sz w:val="24"/>
          <w:szCs w:val="24"/>
        </w:rPr>
        <w:t>s</w:t>
      </w:r>
      <w:r w:rsidR="00425530" w:rsidRPr="00425530">
        <w:rPr>
          <w:rFonts w:ascii="Garamond" w:hAnsi="Garamond"/>
          <w:b/>
          <w:bCs/>
          <w:sz w:val="24"/>
          <w:szCs w:val="24"/>
        </w:rPr>
        <w:t xml:space="preserve">esiones y </w:t>
      </w:r>
      <w:r w:rsidR="00B3756E">
        <w:rPr>
          <w:rFonts w:ascii="Garamond" w:hAnsi="Garamond"/>
          <w:b/>
          <w:bCs/>
          <w:sz w:val="24"/>
          <w:szCs w:val="24"/>
        </w:rPr>
        <w:t>u</w:t>
      </w:r>
      <w:r w:rsidR="00425530" w:rsidRPr="00425530">
        <w:rPr>
          <w:rFonts w:ascii="Garamond" w:hAnsi="Garamond"/>
          <w:b/>
          <w:bCs/>
          <w:sz w:val="24"/>
          <w:szCs w:val="24"/>
        </w:rPr>
        <w:t xml:space="preserve">so de </w:t>
      </w:r>
      <w:r w:rsidR="00B3756E">
        <w:rPr>
          <w:rFonts w:ascii="Garamond" w:hAnsi="Garamond"/>
          <w:b/>
          <w:bCs/>
          <w:sz w:val="24"/>
          <w:szCs w:val="24"/>
        </w:rPr>
        <w:t>t</w:t>
      </w:r>
      <w:r w:rsidR="00425530" w:rsidRPr="00425530">
        <w:rPr>
          <w:rFonts w:ascii="Garamond" w:hAnsi="Garamond"/>
          <w:b/>
          <w:bCs/>
          <w:sz w:val="24"/>
          <w:szCs w:val="24"/>
        </w:rPr>
        <w:t>ecnología</w:t>
      </w:r>
      <w:r w:rsidR="00454431">
        <w:rPr>
          <w:rFonts w:ascii="Garamond" w:hAnsi="Garamond"/>
          <w:b/>
          <w:bCs/>
          <w:sz w:val="24"/>
          <w:szCs w:val="24"/>
        </w:rPr>
        <w:t xml:space="preserve">. </w:t>
      </w:r>
      <w:r w:rsidR="00425530" w:rsidRPr="00454431">
        <w:rPr>
          <w:rFonts w:ascii="Garamond" w:hAnsi="Garamond"/>
          <w:sz w:val="24"/>
          <w:szCs w:val="24"/>
        </w:rPr>
        <w:t>En el caso excepcional de que una sesión se realice de manera virtual, el profesor facilitará el enlace de conexión con la debida antelación.</w:t>
      </w:r>
      <w:r w:rsidR="00B30F84">
        <w:rPr>
          <w:rFonts w:ascii="Garamond" w:hAnsi="Garamond"/>
          <w:b/>
          <w:bCs/>
          <w:sz w:val="24"/>
          <w:szCs w:val="24"/>
        </w:rPr>
        <w:t xml:space="preserve"> </w:t>
      </w:r>
      <w:r w:rsidR="00425530" w:rsidRPr="00454431">
        <w:rPr>
          <w:rFonts w:ascii="Garamond" w:hAnsi="Garamond"/>
          <w:sz w:val="24"/>
          <w:szCs w:val="24"/>
        </w:rPr>
        <w:t>El uso de ordenadores</w:t>
      </w:r>
      <w:r w:rsidR="001F54B1">
        <w:rPr>
          <w:rFonts w:ascii="Garamond" w:hAnsi="Garamond"/>
          <w:sz w:val="24"/>
          <w:szCs w:val="24"/>
        </w:rPr>
        <w:t xml:space="preserve"> o </w:t>
      </w:r>
      <w:r w:rsidR="00425530" w:rsidRPr="00454431">
        <w:rPr>
          <w:rFonts w:ascii="Garamond" w:hAnsi="Garamond"/>
          <w:sz w:val="24"/>
          <w:szCs w:val="24"/>
        </w:rPr>
        <w:t>tableta se permitirá exclusivamente para tomar notas o realizar consultas relacionadas con la materia</w:t>
      </w:r>
      <w:r w:rsidR="003253A8">
        <w:rPr>
          <w:rFonts w:ascii="Garamond" w:hAnsi="Garamond"/>
          <w:sz w:val="24"/>
          <w:szCs w:val="24"/>
        </w:rPr>
        <w:t xml:space="preserve"> cuando así lo indique el profesor</w:t>
      </w:r>
      <w:r w:rsidR="00425530" w:rsidRPr="00454431">
        <w:rPr>
          <w:rFonts w:ascii="Garamond" w:hAnsi="Garamond"/>
          <w:sz w:val="24"/>
          <w:szCs w:val="24"/>
        </w:rPr>
        <w:t>.</w:t>
      </w:r>
      <w:r w:rsidR="003135A3">
        <w:rPr>
          <w:rFonts w:ascii="Garamond" w:hAnsi="Garamond"/>
          <w:sz w:val="24"/>
          <w:szCs w:val="24"/>
        </w:rPr>
        <w:t xml:space="preserve"> </w:t>
      </w:r>
      <w:r w:rsidR="00BD3E84" w:rsidRPr="00BD3E84">
        <w:rPr>
          <w:rFonts w:ascii="Garamond" w:hAnsi="Garamond"/>
          <w:sz w:val="24"/>
          <w:szCs w:val="24"/>
        </w:rPr>
        <w:t xml:space="preserve">Se ruega </w:t>
      </w:r>
      <w:r w:rsidR="00BD3E84" w:rsidRPr="00BD3E84">
        <w:rPr>
          <w:rFonts w:ascii="Garamond" w:hAnsi="Garamond"/>
          <w:sz w:val="24"/>
          <w:szCs w:val="24"/>
        </w:rPr>
        <w:lastRenderedPageBreak/>
        <w:t>mantener los teléfonos móviles en silencio y abstenerse de utilizarlos durante el transcurso de la clase.</w:t>
      </w:r>
    </w:p>
    <w:p w14:paraId="46AFB94C" w14:textId="77777777" w:rsidR="00425530" w:rsidRPr="00425530" w:rsidRDefault="00425530" w:rsidP="00425530">
      <w:pPr>
        <w:tabs>
          <w:tab w:val="left" w:pos="1147"/>
        </w:tabs>
        <w:spacing w:after="0" w:line="240" w:lineRule="auto"/>
        <w:jc w:val="both"/>
        <w:rPr>
          <w:rFonts w:ascii="Garamond" w:hAnsi="Garamond"/>
          <w:b/>
          <w:bCs/>
          <w:sz w:val="24"/>
          <w:szCs w:val="24"/>
        </w:rPr>
      </w:pPr>
    </w:p>
    <w:p w14:paraId="4CCDAAF6" w14:textId="1DAB19C0" w:rsidR="00425530" w:rsidRPr="00897FEF" w:rsidRDefault="003E4F45" w:rsidP="00425530">
      <w:pPr>
        <w:tabs>
          <w:tab w:val="left" w:pos="1147"/>
        </w:tabs>
        <w:spacing w:after="0" w:line="240" w:lineRule="auto"/>
        <w:jc w:val="both"/>
        <w:rPr>
          <w:rFonts w:ascii="Garamond" w:hAnsi="Garamond"/>
          <w:sz w:val="24"/>
          <w:szCs w:val="24"/>
        </w:rPr>
      </w:pPr>
      <w:r>
        <w:rPr>
          <w:rFonts w:ascii="Garamond" w:hAnsi="Garamond"/>
          <w:b/>
          <w:bCs/>
          <w:sz w:val="24"/>
          <w:szCs w:val="24"/>
        </w:rPr>
        <w:t xml:space="preserve">Sobre </w:t>
      </w:r>
      <w:r w:rsidR="00425530" w:rsidRPr="00425530">
        <w:rPr>
          <w:rFonts w:ascii="Garamond" w:hAnsi="Garamond"/>
          <w:b/>
          <w:bCs/>
          <w:sz w:val="24"/>
          <w:szCs w:val="24"/>
        </w:rPr>
        <w:t xml:space="preserve">Integridad </w:t>
      </w:r>
      <w:r w:rsidR="00B3756E">
        <w:rPr>
          <w:rFonts w:ascii="Garamond" w:hAnsi="Garamond"/>
          <w:b/>
          <w:bCs/>
          <w:sz w:val="24"/>
          <w:szCs w:val="24"/>
        </w:rPr>
        <w:t>a</w:t>
      </w:r>
      <w:r w:rsidR="00425530" w:rsidRPr="00425530">
        <w:rPr>
          <w:rFonts w:ascii="Garamond" w:hAnsi="Garamond"/>
          <w:b/>
          <w:bCs/>
          <w:sz w:val="24"/>
          <w:szCs w:val="24"/>
        </w:rPr>
        <w:t xml:space="preserve">cadémica y </w:t>
      </w:r>
      <w:r w:rsidR="00B3756E">
        <w:rPr>
          <w:rFonts w:ascii="Garamond" w:hAnsi="Garamond"/>
          <w:b/>
          <w:bCs/>
          <w:sz w:val="24"/>
          <w:szCs w:val="24"/>
        </w:rPr>
        <w:t>n</w:t>
      </w:r>
      <w:r w:rsidR="00425530" w:rsidRPr="00425530">
        <w:rPr>
          <w:rFonts w:ascii="Garamond" w:hAnsi="Garamond"/>
          <w:b/>
          <w:bCs/>
          <w:sz w:val="24"/>
          <w:szCs w:val="24"/>
        </w:rPr>
        <w:t>ormativa</w:t>
      </w:r>
      <w:r w:rsidR="00BD3E84">
        <w:rPr>
          <w:rFonts w:ascii="Garamond" w:hAnsi="Garamond"/>
          <w:b/>
          <w:bCs/>
          <w:sz w:val="24"/>
          <w:szCs w:val="24"/>
        </w:rPr>
        <w:t xml:space="preserve">. </w:t>
      </w:r>
      <w:r w:rsidR="00425530" w:rsidRPr="002B0C0F">
        <w:rPr>
          <w:rFonts w:ascii="Garamond" w:hAnsi="Garamond"/>
          <w:sz w:val="24"/>
          <w:szCs w:val="24"/>
        </w:rPr>
        <w:t>Se espera que todos los estudiantes actúen con honestidad académica. Prácticas como el plagio, la suplantación de identidad en exámenes o trabajos y la falsificación de documentos constituyen faltas graves según la normativa de la universidad.</w:t>
      </w:r>
      <w:r w:rsidR="002B0C0F">
        <w:rPr>
          <w:rFonts w:ascii="Garamond" w:hAnsi="Garamond"/>
          <w:sz w:val="24"/>
          <w:szCs w:val="24"/>
        </w:rPr>
        <w:t xml:space="preserve"> </w:t>
      </w:r>
      <w:r w:rsidR="00425530" w:rsidRPr="002B0C0F">
        <w:rPr>
          <w:rFonts w:ascii="Garamond" w:hAnsi="Garamond"/>
          <w:sz w:val="24"/>
          <w:szCs w:val="24"/>
        </w:rPr>
        <w:t>El Reglamento de Disciplina Académica sanciona "la falta de probidad" y "la falsificación de documentos" (art. 5, Cap. III).</w:t>
      </w:r>
      <w:r w:rsidR="002B0C0F">
        <w:rPr>
          <w:rFonts w:ascii="Garamond" w:hAnsi="Garamond"/>
          <w:sz w:val="24"/>
          <w:szCs w:val="24"/>
        </w:rPr>
        <w:t xml:space="preserve"> </w:t>
      </w:r>
      <w:r w:rsidR="00425530" w:rsidRPr="002B0C0F">
        <w:rPr>
          <w:rFonts w:ascii="Garamond" w:hAnsi="Garamond"/>
          <w:sz w:val="24"/>
          <w:szCs w:val="24"/>
        </w:rPr>
        <w:t>El Estatuto del Estudiante Universitario establece el deber de “abstenerse de la utilización o cooperación en procedimientos fraudulentos en las pruebas de evaluación” (art. 13, d).</w:t>
      </w:r>
      <w:r w:rsidR="002B0C0F">
        <w:rPr>
          <w:rFonts w:ascii="Garamond" w:hAnsi="Garamond"/>
          <w:sz w:val="24"/>
          <w:szCs w:val="24"/>
        </w:rPr>
        <w:t xml:space="preserve"> </w:t>
      </w:r>
      <w:r w:rsidR="00425530" w:rsidRPr="00897FEF">
        <w:rPr>
          <w:rFonts w:ascii="Garamond" w:hAnsi="Garamond"/>
          <w:sz w:val="24"/>
          <w:szCs w:val="24"/>
        </w:rPr>
        <w:t>El incumplimiento de estas normas puede derivar en sanciones y tener consecuencias en el expediente académico.</w:t>
      </w:r>
    </w:p>
    <w:p w14:paraId="09247B76" w14:textId="77777777" w:rsidR="00425530" w:rsidRPr="00897FEF" w:rsidRDefault="00425530" w:rsidP="00425530">
      <w:pPr>
        <w:tabs>
          <w:tab w:val="left" w:pos="1147"/>
        </w:tabs>
        <w:spacing w:after="0" w:line="240" w:lineRule="auto"/>
        <w:jc w:val="both"/>
        <w:rPr>
          <w:rFonts w:ascii="Garamond" w:hAnsi="Garamond"/>
          <w:sz w:val="24"/>
          <w:szCs w:val="24"/>
        </w:rPr>
      </w:pPr>
    </w:p>
    <w:p w14:paraId="6EB7C43F" w14:textId="77777777" w:rsidR="009425BF" w:rsidRDefault="009425BF" w:rsidP="001512D1">
      <w:pPr>
        <w:tabs>
          <w:tab w:val="left" w:pos="1147"/>
        </w:tabs>
        <w:spacing w:after="0" w:line="240" w:lineRule="auto"/>
        <w:jc w:val="both"/>
        <w:rPr>
          <w:rFonts w:ascii="Garamond" w:hAnsi="Garamond"/>
          <w:b/>
          <w:bCs/>
          <w:sz w:val="24"/>
          <w:szCs w:val="24"/>
        </w:rPr>
      </w:pPr>
    </w:p>
    <w:p w14:paraId="1DE8B9D3" w14:textId="4108191A" w:rsidR="007953FE" w:rsidRPr="002A51BB" w:rsidRDefault="002A51BB" w:rsidP="001512D1">
      <w:pPr>
        <w:tabs>
          <w:tab w:val="left" w:pos="1147"/>
        </w:tabs>
        <w:spacing w:after="0" w:line="240" w:lineRule="auto"/>
        <w:jc w:val="both"/>
        <w:rPr>
          <w:rFonts w:ascii="Garamond" w:hAnsi="Garamond"/>
          <w:b/>
          <w:bCs/>
          <w:sz w:val="24"/>
          <w:szCs w:val="24"/>
        </w:rPr>
      </w:pPr>
      <w:r w:rsidRPr="002A51BB">
        <w:rPr>
          <w:rFonts w:ascii="Garamond" w:hAnsi="Garamond"/>
          <w:b/>
          <w:bCs/>
          <w:sz w:val="24"/>
          <w:szCs w:val="24"/>
        </w:rPr>
        <w:t>PROGRAMA</w:t>
      </w:r>
    </w:p>
    <w:p w14:paraId="0D22DAF9" w14:textId="1837195B" w:rsidR="00F11E0B" w:rsidRDefault="00F11E0B" w:rsidP="002A51BB">
      <w:pPr>
        <w:tabs>
          <w:tab w:val="left" w:pos="1147"/>
        </w:tabs>
        <w:spacing w:after="0" w:line="240" w:lineRule="auto"/>
        <w:jc w:val="both"/>
        <w:rPr>
          <w:rFonts w:ascii="Garamond" w:hAnsi="Garamond"/>
          <w:sz w:val="24"/>
          <w:szCs w:val="24"/>
        </w:rPr>
      </w:pPr>
    </w:p>
    <w:p w14:paraId="48E744C8" w14:textId="77777777" w:rsidR="0089617C" w:rsidRPr="002A51BB" w:rsidRDefault="0089617C" w:rsidP="002A51BB">
      <w:pPr>
        <w:tabs>
          <w:tab w:val="left" w:pos="1147"/>
        </w:tabs>
        <w:spacing w:after="0" w:line="240" w:lineRule="auto"/>
        <w:jc w:val="both"/>
        <w:rPr>
          <w:rFonts w:ascii="Garamond" w:hAnsi="Garamond"/>
          <w:sz w:val="24"/>
          <w:szCs w:val="24"/>
        </w:rPr>
      </w:pPr>
    </w:p>
    <w:p w14:paraId="770F6702" w14:textId="77777777" w:rsidR="001F5741" w:rsidRPr="001F5741"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b/>
          <w:bCs/>
          <w:sz w:val="24"/>
          <w:szCs w:val="24"/>
        </w:rPr>
        <w:t>PARTE I: EL ACTOR INTERNACIONAL UNIÓN EUROPEA Y SU EVOLUCIÓN EN EL TIEMPO.</w:t>
      </w:r>
    </w:p>
    <w:p w14:paraId="24EFA69F" w14:textId="77777777" w:rsidR="001F5741" w:rsidRPr="001F5741" w:rsidRDefault="001F5741" w:rsidP="001F5741">
      <w:pPr>
        <w:tabs>
          <w:tab w:val="left" w:pos="1147"/>
        </w:tabs>
        <w:spacing w:after="0" w:line="240" w:lineRule="auto"/>
        <w:jc w:val="both"/>
        <w:rPr>
          <w:rFonts w:ascii="Garamond" w:hAnsi="Garamond"/>
          <w:sz w:val="24"/>
          <w:szCs w:val="24"/>
        </w:rPr>
      </w:pPr>
    </w:p>
    <w:p w14:paraId="18D7F503"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 xml:space="preserve">Tema 1: </w:t>
      </w:r>
      <w:r w:rsidRPr="001F5741">
        <w:rPr>
          <w:rFonts w:ascii="Garamond" w:hAnsi="Garamond"/>
          <w:b/>
          <w:bCs/>
          <w:sz w:val="24"/>
          <w:szCs w:val="24"/>
        </w:rPr>
        <w:t>Introd</w:t>
      </w:r>
      <w:r w:rsidRPr="004264D4">
        <w:rPr>
          <w:rFonts w:ascii="Garamond" w:hAnsi="Garamond"/>
          <w:b/>
          <w:bCs/>
          <w:sz w:val="24"/>
          <w:szCs w:val="24"/>
        </w:rPr>
        <w:t>ucción. El actor internacional Unión Europea y su Política Exterior Común. Delimitaciones conceptuales y principales características.</w:t>
      </w:r>
    </w:p>
    <w:p w14:paraId="3399FACF" w14:textId="60511B47" w:rsidR="001F5741" w:rsidRPr="004264D4" w:rsidRDefault="001F5741" w:rsidP="00751927">
      <w:pPr>
        <w:tabs>
          <w:tab w:val="left" w:pos="1147"/>
        </w:tabs>
        <w:spacing w:after="0" w:line="240" w:lineRule="auto"/>
        <w:jc w:val="both"/>
        <w:rPr>
          <w:rFonts w:ascii="Garamond" w:hAnsi="Garamond"/>
          <w:sz w:val="24"/>
          <w:szCs w:val="24"/>
        </w:rPr>
      </w:pPr>
      <w:r w:rsidRPr="00751927">
        <w:rPr>
          <w:rFonts w:ascii="Garamond" w:hAnsi="Garamond"/>
          <w:sz w:val="24"/>
          <w:szCs w:val="24"/>
        </w:rPr>
        <w:t>La Unión Europea como actor internacional: ¿un actor económico, un enano político y un gusano militar?</w:t>
      </w:r>
      <w:r w:rsidR="00751927">
        <w:rPr>
          <w:rFonts w:ascii="Garamond" w:hAnsi="Garamond"/>
          <w:sz w:val="24"/>
          <w:szCs w:val="24"/>
        </w:rPr>
        <w:t xml:space="preserve">; </w:t>
      </w:r>
      <w:r w:rsidRPr="004264D4">
        <w:rPr>
          <w:rFonts w:ascii="Garamond" w:hAnsi="Garamond"/>
          <w:sz w:val="24"/>
          <w:szCs w:val="24"/>
        </w:rPr>
        <w:t>Acción común y Política Exterior Común de la Unión Europea</w:t>
      </w:r>
      <w:r w:rsidR="00751927">
        <w:rPr>
          <w:rFonts w:ascii="Garamond" w:hAnsi="Garamond"/>
          <w:sz w:val="24"/>
          <w:szCs w:val="24"/>
        </w:rPr>
        <w:t xml:space="preserve">; </w:t>
      </w:r>
      <w:r w:rsidRPr="004264D4">
        <w:rPr>
          <w:rFonts w:ascii="Garamond" w:hAnsi="Garamond"/>
          <w:sz w:val="24"/>
          <w:szCs w:val="24"/>
        </w:rPr>
        <w:t>La Política Exterior y de Seguridad Común: el marco intergubernamental desde el que se formula la Política Exterior Común</w:t>
      </w:r>
      <w:r w:rsidR="00751927">
        <w:rPr>
          <w:rFonts w:ascii="Garamond" w:hAnsi="Garamond"/>
          <w:sz w:val="24"/>
          <w:szCs w:val="24"/>
        </w:rPr>
        <w:t xml:space="preserve">; </w:t>
      </w:r>
      <w:r w:rsidRPr="004264D4">
        <w:rPr>
          <w:rFonts w:ascii="Garamond" w:hAnsi="Garamond"/>
          <w:sz w:val="24"/>
          <w:szCs w:val="24"/>
        </w:rPr>
        <w:t>La Política Común de Seguridad y Defensa: cooperación en materia de capacidades, gestión de crisis y defensa de la Unión</w:t>
      </w:r>
      <w:r w:rsidR="00751927">
        <w:rPr>
          <w:rFonts w:ascii="Garamond" w:hAnsi="Garamond"/>
          <w:sz w:val="24"/>
          <w:szCs w:val="24"/>
        </w:rPr>
        <w:t xml:space="preserve">; </w:t>
      </w:r>
      <w:r w:rsidRPr="004264D4">
        <w:rPr>
          <w:rFonts w:ascii="Garamond" w:hAnsi="Garamond"/>
          <w:sz w:val="24"/>
          <w:szCs w:val="24"/>
        </w:rPr>
        <w:t>Las relaciones exteriores de contenido económico y la dimensión exterior de las políticas comunes.</w:t>
      </w:r>
    </w:p>
    <w:p w14:paraId="3537ACB2"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ab/>
      </w:r>
    </w:p>
    <w:p w14:paraId="33E8E5CE" w14:textId="77777777" w:rsidR="001F5741" w:rsidRPr="004264D4"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2: </w:t>
      </w:r>
      <w:r w:rsidRPr="004264D4">
        <w:rPr>
          <w:rFonts w:ascii="Garamond" w:hAnsi="Garamond"/>
          <w:b/>
          <w:bCs/>
          <w:sz w:val="24"/>
          <w:szCs w:val="24"/>
        </w:rPr>
        <w:t>La Unión Europea como actor internacional de la sociedad internacional de la globalización.</w:t>
      </w:r>
    </w:p>
    <w:p w14:paraId="04969BC4" w14:textId="2A2CF08B" w:rsidR="001F5741" w:rsidRPr="004264D4" w:rsidRDefault="001F5741" w:rsidP="00751927">
      <w:pPr>
        <w:tabs>
          <w:tab w:val="left" w:pos="1147"/>
        </w:tabs>
        <w:spacing w:after="0" w:line="240" w:lineRule="auto"/>
        <w:jc w:val="both"/>
        <w:rPr>
          <w:rFonts w:ascii="Garamond" w:hAnsi="Garamond"/>
          <w:sz w:val="24"/>
          <w:szCs w:val="24"/>
        </w:rPr>
      </w:pPr>
      <w:r w:rsidRPr="00751927">
        <w:rPr>
          <w:rFonts w:ascii="Garamond" w:hAnsi="Garamond"/>
          <w:sz w:val="24"/>
          <w:szCs w:val="24"/>
        </w:rPr>
        <w:t>La Unión Europea como sujeto internacional y como actor internacional</w:t>
      </w:r>
      <w:r w:rsidR="00751927">
        <w:rPr>
          <w:rFonts w:ascii="Garamond" w:hAnsi="Garamond"/>
          <w:sz w:val="24"/>
          <w:szCs w:val="24"/>
        </w:rPr>
        <w:t xml:space="preserve">; </w:t>
      </w:r>
      <w:r w:rsidRPr="004264D4">
        <w:rPr>
          <w:rFonts w:ascii="Garamond" w:hAnsi="Garamond"/>
          <w:sz w:val="24"/>
          <w:szCs w:val="24"/>
        </w:rPr>
        <w:t>La naturaleza del actor internacional Unión Europea: las particularidades de un actor híbrido y mutante</w:t>
      </w:r>
      <w:r w:rsidR="00751927">
        <w:rPr>
          <w:rFonts w:ascii="Garamond" w:hAnsi="Garamond"/>
          <w:sz w:val="24"/>
          <w:szCs w:val="24"/>
        </w:rPr>
        <w:t xml:space="preserve">; </w:t>
      </w:r>
      <w:r w:rsidRPr="004264D4">
        <w:rPr>
          <w:rFonts w:ascii="Garamond" w:hAnsi="Garamond"/>
          <w:sz w:val="24"/>
          <w:szCs w:val="24"/>
        </w:rPr>
        <w:t>La Unión Europea y el proceso de globalización: actor activo hacia la gobernanza global</w:t>
      </w:r>
      <w:r w:rsidR="00751927">
        <w:rPr>
          <w:rFonts w:ascii="Garamond" w:hAnsi="Garamond"/>
          <w:sz w:val="24"/>
          <w:szCs w:val="24"/>
        </w:rPr>
        <w:t xml:space="preserve">; </w:t>
      </w:r>
      <w:r w:rsidRPr="004264D4">
        <w:rPr>
          <w:rFonts w:ascii="Garamond" w:hAnsi="Garamond"/>
          <w:sz w:val="24"/>
          <w:szCs w:val="24"/>
        </w:rPr>
        <w:t>La sociedad internacional de la globalización y los modelos de regionalismo</w:t>
      </w:r>
      <w:r w:rsidR="00751927">
        <w:rPr>
          <w:rFonts w:ascii="Garamond" w:hAnsi="Garamond"/>
          <w:sz w:val="24"/>
          <w:szCs w:val="24"/>
        </w:rPr>
        <w:t xml:space="preserve">; </w:t>
      </w:r>
      <w:r w:rsidRPr="004264D4">
        <w:rPr>
          <w:rFonts w:ascii="Garamond" w:hAnsi="Garamond"/>
          <w:sz w:val="24"/>
          <w:szCs w:val="24"/>
        </w:rPr>
        <w:t>Los roles de la UE como actor internacional. La dimensión exterior del modelo social europeo</w:t>
      </w:r>
      <w:r w:rsidR="00751927">
        <w:rPr>
          <w:rFonts w:ascii="Garamond" w:hAnsi="Garamond"/>
          <w:sz w:val="24"/>
          <w:szCs w:val="24"/>
        </w:rPr>
        <w:t xml:space="preserve">; </w:t>
      </w:r>
      <w:r w:rsidRPr="004264D4">
        <w:rPr>
          <w:rFonts w:ascii="Garamond" w:hAnsi="Garamond"/>
          <w:sz w:val="24"/>
          <w:szCs w:val="24"/>
        </w:rPr>
        <w:t>El auge multipolar y la respuesta de la UE.</w:t>
      </w:r>
    </w:p>
    <w:p w14:paraId="20E25B50" w14:textId="77777777" w:rsidR="001F5741" w:rsidRPr="001F5741" w:rsidRDefault="001F5741" w:rsidP="001F5741">
      <w:pPr>
        <w:tabs>
          <w:tab w:val="left" w:pos="1147"/>
        </w:tabs>
        <w:spacing w:after="0" w:line="240" w:lineRule="auto"/>
        <w:jc w:val="both"/>
        <w:rPr>
          <w:rFonts w:ascii="Garamond" w:hAnsi="Garamond"/>
          <w:sz w:val="24"/>
          <w:szCs w:val="24"/>
        </w:rPr>
      </w:pPr>
    </w:p>
    <w:p w14:paraId="26D5CCE1" w14:textId="77777777" w:rsidR="001F5741" w:rsidRPr="004264D4"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3: </w:t>
      </w:r>
      <w:r w:rsidRPr="004264D4">
        <w:rPr>
          <w:rFonts w:ascii="Garamond" w:hAnsi="Garamond"/>
          <w:b/>
          <w:bCs/>
          <w:sz w:val="24"/>
          <w:szCs w:val="24"/>
        </w:rPr>
        <w:t>Génesis y evolución del actor internacional Unión Europea y su Política Exterior Común.</w:t>
      </w:r>
    </w:p>
    <w:p w14:paraId="148DB7D7" w14:textId="73BC9FB7" w:rsidR="001F5741" w:rsidRDefault="001F5741" w:rsidP="00563B2B">
      <w:pPr>
        <w:tabs>
          <w:tab w:val="left" w:pos="1147"/>
        </w:tabs>
        <w:spacing w:after="0" w:line="240" w:lineRule="auto"/>
        <w:jc w:val="both"/>
        <w:rPr>
          <w:rFonts w:ascii="Garamond" w:hAnsi="Garamond"/>
          <w:sz w:val="24"/>
          <w:szCs w:val="24"/>
        </w:rPr>
      </w:pPr>
      <w:r w:rsidRPr="0093091E">
        <w:rPr>
          <w:rFonts w:ascii="Garamond" w:hAnsi="Garamond"/>
          <w:sz w:val="24"/>
          <w:szCs w:val="24"/>
        </w:rPr>
        <w:t>La dimensión exterior de carácter económico de las primeras Comunidades Europeas y el fracaso de la Comunidad Europea de Defensa</w:t>
      </w:r>
      <w:r w:rsidR="0093091E">
        <w:rPr>
          <w:rFonts w:ascii="Garamond" w:hAnsi="Garamond"/>
          <w:sz w:val="24"/>
          <w:szCs w:val="24"/>
        </w:rPr>
        <w:t xml:space="preserve">; </w:t>
      </w:r>
      <w:r w:rsidRPr="004264D4">
        <w:rPr>
          <w:rFonts w:ascii="Garamond" w:hAnsi="Garamond"/>
          <w:sz w:val="24"/>
          <w:szCs w:val="24"/>
        </w:rPr>
        <w:t>La Cooperación Política Europea: la coordinación de las políticas exteriores de los Estados miembros</w:t>
      </w:r>
      <w:r w:rsidR="00563B2B">
        <w:rPr>
          <w:rFonts w:ascii="Garamond" w:hAnsi="Garamond"/>
          <w:sz w:val="24"/>
          <w:szCs w:val="24"/>
        </w:rPr>
        <w:t xml:space="preserve">; </w:t>
      </w:r>
      <w:r w:rsidRPr="004264D4">
        <w:rPr>
          <w:rFonts w:ascii="Garamond" w:hAnsi="Garamond"/>
          <w:sz w:val="24"/>
          <w:szCs w:val="24"/>
        </w:rPr>
        <w:t>Constitucionalización e institucionalización de la Cooperación Política Europea en el Acta Única Europea</w:t>
      </w:r>
      <w:r w:rsidR="00563B2B">
        <w:rPr>
          <w:rFonts w:ascii="Garamond" w:hAnsi="Garamond"/>
          <w:sz w:val="24"/>
          <w:szCs w:val="24"/>
        </w:rPr>
        <w:t xml:space="preserve">; </w:t>
      </w:r>
      <w:r w:rsidRPr="004264D4">
        <w:rPr>
          <w:rFonts w:ascii="Garamond" w:hAnsi="Garamond"/>
          <w:sz w:val="24"/>
          <w:szCs w:val="24"/>
        </w:rPr>
        <w:t>El Tratado de Maastricht: la Unión Europea y su Política Exterior y de Seguridad Común (PESC)</w:t>
      </w:r>
      <w:r w:rsidR="00563B2B">
        <w:rPr>
          <w:rFonts w:ascii="Garamond" w:hAnsi="Garamond"/>
          <w:sz w:val="24"/>
          <w:szCs w:val="24"/>
        </w:rPr>
        <w:t xml:space="preserve">; </w:t>
      </w:r>
      <w:r w:rsidRPr="004264D4">
        <w:rPr>
          <w:rFonts w:ascii="Garamond" w:hAnsi="Garamond"/>
          <w:sz w:val="24"/>
          <w:szCs w:val="24"/>
        </w:rPr>
        <w:t xml:space="preserve">Desarrollo y perfeccionamiento de la PESC en los Tratados de </w:t>
      </w:r>
      <w:r w:rsidR="004264D4" w:rsidRPr="004264D4">
        <w:rPr>
          <w:rFonts w:ascii="Garamond" w:hAnsi="Garamond"/>
          <w:sz w:val="24"/>
          <w:szCs w:val="24"/>
        </w:rPr>
        <w:t>Ámsterdam</w:t>
      </w:r>
      <w:r w:rsidRPr="004264D4">
        <w:rPr>
          <w:rFonts w:ascii="Garamond" w:hAnsi="Garamond"/>
          <w:sz w:val="24"/>
          <w:szCs w:val="24"/>
        </w:rPr>
        <w:t xml:space="preserve"> y Niza</w:t>
      </w:r>
      <w:r w:rsidR="00563B2B">
        <w:rPr>
          <w:rFonts w:ascii="Garamond" w:hAnsi="Garamond"/>
          <w:sz w:val="24"/>
          <w:szCs w:val="24"/>
        </w:rPr>
        <w:t xml:space="preserve">; </w:t>
      </w:r>
      <w:r w:rsidRPr="00563B2B">
        <w:rPr>
          <w:rFonts w:ascii="Garamond" w:hAnsi="Garamond"/>
          <w:sz w:val="24"/>
          <w:szCs w:val="24"/>
        </w:rPr>
        <w:t>La redirección de Laeken</w:t>
      </w:r>
      <w:r w:rsidR="00563B2B">
        <w:rPr>
          <w:rFonts w:ascii="Garamond" w:hAnsi="Garamond"/>
          <w:sz w:val="24"/>
          <w:szCs w:val="24"/>
        </w:rPr>
        <w:t xml:space="preserve">; </w:t>
      </w:r>
      <w:r w:rsidRPr="004264D4">
        <w:rPr>
          <w:rFonts w:ascii="Garamond" w:hAnsi="Garamond"/>
          <w:sz w:val="24"/>
          <w:szCs w:val="24"/>
        </w:rPr>
        <w:t>El Tratado de Lisboa: la búsqueda de la unidad, coherencia y eficacia</w:t>
      </w:r>
      <w:r w:rsidR="00563B2B">
        <w:rPr>
          <w:rFonts w:ascii="Garamond" w:hAnsi="Garamond"/>
          <w:sz w:val="24"/>
          <w:szCs w:val="24"/>
        </w:rPr>
        <w:t xml:space="preserve">; </w:t>
      </w:r>
      <w:r w:rsidRPr="004264D4">
        <w:rPr>
          <w:rFonts w:ascii="Garamond" w:hAnsi="Garamond"/>
          <w:sz w:val="24"/>
          <w:szCs w:val="24"/>
        </w:rPr>
        <w:t>La implementación de Lisboa: la PCSD</w:t>
      </w:r>
      <w:r w:rsidR="00563B2B">
        <w:rPr>
          <w:rFonts w:ascii="Garamond" w:hAnsi="Garamond"/>
          <w:sz w:val="24"/>
          <w:szCs w:val="24"/>
        </w:rPr>
        <w:t xml:space="preserve">; </w:t>
      </w:r>
      <w:r w:rsidRPr="004264D4">
        <w:rPr>
          <w:rFonts w:ascii="Garamond" w:hAnsi="Garamond"/>
          <w:sz w:val="24"/>
          <w:szCs w:val="24"/>
        </w:rPr>
        <w:t>Desafíos de la reducción por el Brexit, la agresión rusa a Ucrania, el conflicto de Oriente Medio y de un mundo multipolar.</w:t>
      </w:r>
    </w:p>
    <w:p w14:paraId="07BEA77F" w14:textId="77777777" w:rsidR="00613FA9" w:rsidRPr="004264D4" w:rsidRDefault="00613FA9" w:rsidP="00563B2B">
      <w:pPr>
        <w:tabs>
          <w:tab w:val="left" w:pos="1147"/>
        </w:tabs>
        <w:spacing w:after="0" w:line="240" w:lineRule="auto"/>
        <w:jc w:val="both"/>
        <w:rPr>
          <w:rFonts w:ascii="Garamond" w:hAnsi="Garamond"/>
          <w:sz w:val="24"/>
          <w:szCs w:val="24"/>
        </w:rPr>
      </w:pPr>
    </w:p>
    <w:p w14:paraId="71FE1091" w14:textId="77777777" w:rsidR="001F5741" w:rsidRPr="001F5741" w:rsidRDefault="001F5741" w:rsidP="001F5741">
      <w:pPr>
        <w:tabs>
          <w:tab w:val="left" w:pos="1147"/>
        </w:tabs>
        <w:spacing w:after="0" w:line="240" w:lineRule="auto"/>
        <w:jc w:val="both"/>
        <w:rPr>
          <w:rFonts w:ascii="Garamond" w:hAnsi="Garamond"/>
          <w:sz w:val="24"/>
          <w:szCs w:val="24"/>
        </w:rPr>
      </w:pPr>
    </w:p>
    <w:p w14:paraId="3ACE7021" w14:textId="77777777" w:rsidR="001F5741" w:rsidRPr="004264D4" w:rsidRDefault="001F5741" w:rsidP="001F5741">
      <w:pPr>
        <w:tabs>
          <w:tab w:val="left" w:pos="1147"/>
        </w:tabs>
        <w:spacing w:after="0" w:line="240" w:lineRule="auto"/>
        <w:jc w:val="both"/>
        <w:rPr>
          <w:rFonts w:ascii="Garamond" w:hAnsi="Garamond"/>
          <w:b/>
          <w:bCs/>
          <w:sz w:val="24"/>
          <w:szCs w:val="24"/>
        </w:rPr>
      </w:pPr>
      <w:r w:rsidRPr="004264D4">
        <w:rPr>
          <w:rFonts w:ascii="Garamond" w:hAnsi="Garamond"/>
          <w:b/>
          <w:bCs/>
          <w:sz w:val="24"/>
          <w:szCs w:val="24"/>
        </w:rPr>
        <w:lastRenderedPageBreak/>
        <w:t>PARTE II: REGULACIÓN DE LA POLÍTICA EXTERIOR COMÚN EN LOS TRATADOS.</w:t>
      </w:r>
    </w:p>
    <w:p w14:paraId="1CB079BB" w14:textId="77777777" w:rsidR="001F5741" w:rsidRPr="001F5741" w:rsidRDefault="001F5741" w:rsidP="001F5741">
      <w:pPr>
        <w:tabs>
          <w:tab w:val="left" w:pos="1147"/>
        </w:tabs>
        <w:spacing w:after="0" w:line="240" w:lineRule="auto"/>
        <w:jc w:val="both"/>
        <w:rPr>
          <w:rFonts w:ascii="Garamond" w:hAnsi="Garamond"/>
          <w:sz w:val="24"/>
          <w:szCs w:val="24"/>
        </w:rPr>
      </w:pPr>
    </w:p>
    <w:p w14:paraId="393AC94F"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 xml:space="preserve">Tema 4: </w:t>
      </w:r>
      <w:r w:rsidRPr="004264D4">
        <w:rPr>
          <w:rFonts w:ascii="Garamond" w:hAnsi="Garamond"/>
          <w:b/>
          <w:bCs/>
          <w:sz w:val="24"/>
          <w:szCs w:val="24"/>
        </w:rPr>
        <w:t>La Política Exterior Común en los Tratados: la regulación de la acción exterior.</w:t>
      </w:r>
      <w:r w:rsidRPr="001F5741">
        <w:rPr>
          <w:rFonts w:ascii="Garamond" w:hAnsi="Garamond"/>
          <w:sz w:val="24"/>
          <w:szCs w:val="24"/>
        </w:rPr>
        <w:t xml:space="preserve"> </w:t>
      </w:r>
    </w:p>
    <w:p w14:paraId="700E6269" w14:textId="7C43325D" w:rsidR="001F5741" w:rsidRPr="00E62175" w:rsidRDefault="001F5741" w:rsidP="00486F1C">
      <w:pPr>
        <w:tabs>
          <w:tab w:val="left" w:pos="1147"/>
        </w:tabs>
        <w:spacing w:after="0" w:line="240" w:lineRule="auto"/>
        <w:jc w:val="both"/>
        <w:rPr>
          <w:rFonts w:ascii="Garamond" w:hAnsi="Garamond"/>
          <w:sz w:val="24"/>
          <w:szCs w:val="24"/>
        </w:rPr>
      </w:pPr>
      <w:r w:rsidRPr="00486F1C">
        <w:rPr>
          <w:rFonts w:ascii="Garamond" w:hAnsi="Garamond"/>
          <w:sz w:val="24"/>
          <w:szCs w:val="24"/>
        </w:rPr>
        <w:t>El art. 3.5 del TUE: los objetivos de la UE en su vertiente exterior. La dimensión exterior como objetivo de la integración europea</w:t>
      </w:r>
      <w:r w:rsidR="00486F1C">
        <w:rPr>
          <w:rFonts w:ascii="Garamond" w:hAnsi="Garamond"/>
          <w:sz w:val="24"/>
          <w:szCs w:val="24"/>
        </w:rPr>
        <w:t xml:space="preserve">; </w:t>
      </w:r>
      <w:r w:rsidRPr="00E62175">
        <w:rPr>
          <w:rFonts w:ascii="Garamond" w:hAnsi="Garamond"/>
          <w:sz w:val="24"/>
          <w:szCs w:val="24"/>
        </w:rPr>
        <w:t>La personalidad jurídica única de la UE</w:t>
      </w:r>
      <w:r w:rsidR="00486F1C">
        <w:rPr>
          <w:rFonts w:ascii="Garamond" w:hAnsi="Garamond"/>
          <w:sz w:val="24"/>
          <w:szCs w:val="24"/>
        </w:rPr>
        <w:t xml:space="preserve">; </w:t>
      </w:r>
      <w:r w:rsidRPr="00E62175">
        <w:rPr>
          <w:rFonts w:ascii="Garamond" w:hAnsi="Garamond"/>
          <w:sz w:val="24"/>
          <w:szCs w:val="24"/>
        </w:rPr>
        <w:t xml:space="preserve">La regulación </w:t>
      </w:r>
      <w:proofErr w:type="spellStart"/>
      <w:r w:rsidRPr="00E62175">
        <w:rPr>
          <w:rFonts w:ascii="Garamond" w:hAnsi="Garamond"/>
          <w:sz w:val="24"/>
          <w:szCs w:val="24"/>
        </w:rPr>
        <w:t>cuasi-unitaria</w:t>
      </w:r>
      <w:proofErr w:type="spellEnd"/>
      <w:r w:rsidRPr="00E62175">
        <w:rPr>
          <w:rFonts w:ascii="Garamond" w:hAnsi="Garamond"/>
          <w:sz w:val="24"/>
          <w:szCs w:val="24"/>
        </w:rPr>
        <w:t xml:space="preserve"> de la política exterior de un actor y sujeto único</w:t>
      </w:r>
      <w:r w:rsidR="00486F1C">
        <w:rPr>
          <w:rFonts w:ascii="Garamond" w:hAnsi="Garamond"/>
          <w:sz w:val="24"/>
          <w:szCs w:val="24"/>
        </w:rPr>
        <w:t xml:space="preserve">; </w:t>
      </w:r>
      <w:r w:rsidRPr="00E62175">
        <w:rPr>
          <w:rFonts w:ascii="Garamond" w:hAnsi="Garamond"/>
          <w:sz w:val="24"/>
          <w:szCs w:val="24"/>
        </w:rPr>
        <w:t>Una política exterior común de base normativa: los valores y objetivos del artículo 21 del TUE</w:t>
      </w:r>
      <w:r w:rsidR="00486F1C">
        <w:rPr>
          <w:rFonts w:ascii="Garamond" w:hAnsi="Garamond"/>
          <w:sz w:val="24"/>
          <w:szCs w:val="24"/>
        </w:rPr>
        <w:t xml:space="preserve">; </w:t>
      </w:r>
      <w:r w:rsidRPr="00E62175">
        <w:rPr>
          <w:rFonts w:ascii="Garamond" w:hAnsi="Garamond"/>
          <w:sz w:val="24"/>
          <w:szCs w:val="24"/>
        </w:rPr>
        <w:t>La disparidad competencial de la PEC en el Tratado</w:t>
      </w:r>
      <w:r w:rsidR="00486F1C">
        <w:rPr>
          <w:rFonts w:ascii="Garamond" w:hAnsi="Garamond"/>
          <w:sz w:val="24"/>
          <w:szCs w:val="24"/>
        </w:rPr>
        <w:t xml:space="preserve">; </w:t>
      </w:r>
      <w:r w:rsidRPr="00E62175">
        <w:rPr>
          <w:rFonts w:ascii="Garamond" w:hAnsi="Garamond"/>
          <w:sz w:val="24"/>
          <w:szCs w:val="24"/>
        </w:rPr>
        <w:t>Los desafíos de la PEC: unidad, coherencia y eficacia</w:t>
      </w:r>
      <w:r w:rsidR="00486F1C">
        <w:rPr>
          <w:rFonts w:ascii="Garamond" w:hAnsi="Garamond"/>
          <w:sz w:val="24"/>
          <w:szCs w:val="24"/>
        </w:rPr>
        <w:t xml:space="preserve">; </w:t>
      </w:r>
      <w:r w:rsidRPr="00E62175">
        <w:rPr>
          <w:rFonts w:ascii="Garamond" w:hAnsi="Garamond"/>
          <w:sz w:val="24"/>
          <w:szCs w:val="24"/>
        </w:rPr>
        <w:t>La regulación de los diferentes ámbitos de la PEC en el Tratado: objetivos, delimitación competencial y modos de decisión.</w:t>
      </w:r>
    </w:p>
    <w:p w14:paraId="72E24DE1" w14:textId="77777777" w:rsidR="001F5741" w:rsidRPr="001F5741" w:rsidRDefault="001F5741" w:rsidP="001F5741">
      <w:pPr>
        <w:tabs>
          <w:tab w:val="left" w:pos="1147"/>
        </w:tabs>
        <w:spacing w:after="0" w:line="240" w:lineRule="auto"/>
        <w:jc w:val="both"/>
        <w:rPr>
          <w:rFonts w:ascii="Garamond" w:hAnsi="Garamond"/>
          <w:sz w:val="24"/>
          <w:szCs w:val="24"/>
        </w:rPr>
      </w:pPr>
    </w:p>
    <w:p w14:paraId="6ED294C4" w14:textId="77777777" w:rsidR="001F5741" w:rsidRPr="00E62175"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5. </w:t>
      </w:r>
      <w:r w:rsidRPr="00E62175">
        <w:rPr>
          <w:rFonts w:ascii="Garamond" w:hAnsi="Garamond"/>
          <w:b/>
          <w:bCs/>
          <w:sz w:val="24"/>
          <w:szCs w:val="24"/>
        </w:rPr>
        <w:t>La Política Exterior y de Seguridad Común: el marco para la formulación de la acción exterior.</w:t>
      </w:r>
    </w:p>
    <w:p w14:paraId="0BC81827" w14:textId="5C588D01" w:rsidR="001F5741" w:rsidRPr="00E62175" w:rsidRDefault="001F5741" w:rsidP="00C502CC">
      <w:pPr>
        <w:tabs>
          <w:tab w:val="left" w:pos="1147"/>
        </w:tabs>
        <w:spacing w:after="0" w:line="240" w:lineRule="auto"/>
        <w:jc w:val="both"/>
        <w:rPr>
          <w:rFonts w:ascii="Garamond" w:hAnsi="Garamond"/>
          <w:sz w:val="24"/>
          <w:szCs w:val="24"/>
        </w:rPr>
      </w:pPr>
      <w:r w:rsidRPr="00640C41">
        <w:rPr>
          <w:rFonts w:ascii="Garamond" w:hAnsi="Garamond"/>
          <w:sz w:val="24"/>
          <w:szCs w:val="24"/>
        </w:rPr>
        <w:t>La PESC: objetivos y ámbito competencial de una política intergubernamental</w:t>
      </w:r>
      <w:r w:rsidR="00640C41">
        <w:rPr>
          <w:rFonts w:ascii="Garamond" w:hAnsi="Garamond"/>
          <w:sz w:val="24"/>
          <w:szCs w:val="24"/>
        </w:rPr>
        <w:t xml:space="preserve">; </w:t>
      </w:r>
      <w:r w:rsidRPr="00E62175">
        <w:rPr>
          <w:rFonts w:ascii="Garamond" w:hAnsi="Garamond"/>
          <w:sz w:val="24"/>
          <w:szCs w:val="24"/>
        </w:rPr>
        <w:t>La formulación y decisión en la PESC: la preponderancia de las instituciones intergubernamentales</w:t>
      </w:r>
      <w:r w:rsidR="00640C41">
        <w:rPr>
          <w:rFonts w:ascii="Garamond" w:hAnsi="Garamond"/>
          <w:sz w:val="24"/>
          <w:szCs w:val="24"/>
        </w:rPr>
        <w:t xml:space="preserve">; </w:t>
      </w:r>
      <w:r w:rsidRPr="00E62175">
        <w:rPr>
          <w:rFonts w:ascii="Garamond" w:hAnsi="Garamond"/>
          <w:sz w:val="24"/>
          <w:szCs w:val="24"/>
        </w:rPr>
        <w:t>El papel de las instituciones comunes en la PESC: Comisión, Parlamento Europeo y Tribunal de Justicia</w:t>
      </w:r>
      <w:r w:rsidR="00640C41">
        <w:rPr>
          <w:rFonts w:ascii="Garamond" w:hAnsi="Garamond"/>
          <w:sz w:val="24"/>
          <w:szCs w:val="24"/>
        </w:rPr>
        <w:t xml:space="preserve">; </w:t>
      </w:r>
      <w:r w:rsidRPr="00E62175">
        <w:rPr>
          <w:rFonts w:ascii="Garamond" w:hAnsi="Garamond"/>
          <w:sz w:val="24"/>
          <w:szCs w:val="24"/>
        </w:rPr>
        <w:t xml:space="preserve">Los órganos especiales de la PESC: el Alto Representante y el Servicio Europeo de Acción Exterior. ¿Existe una diplomacia común europea? El marco </w:t>
      </w:r>
      <w:proofErr w:type="spellStart"/>
      <w:r w:rsidRPr="00E62175">
        <w:rPr>
          <w:rFonts w:ascii="Garamond" w:hAnsi="Garamond"/>
          <w:sz w:val="24"/>
          <w:szCs w:val="24"/>
        </w:rPr>
        <w:t>Team</w:t>
      </w:r>
      <w:proofErr w:type="spellEnd"/>
      <w:r w:rsidRPr="00E62175">
        <w:rPr>
          <w:rFonts w:ascii="Garamond" w:hAnsi="Garamond"/>
          <w:sz w:val="24"/>
          <w:szCs w:val="24"/>
        </w:rPr>
        <w:t xml:space="preserve"> </w:t>
      </w:r>
      <w:proofErr w:type="spellStart"/>
      <w:r w:rsidRPr="00E62175">
        <w:rPr>
          <w:rFonts w:ascii="Garamond" w:hAnsi="Garamond"/>
          <w:sz w:val="24"/>
          <w:szCs w:val="24"/>
        </w:rPr>
        <w:t>Europe</w:t>
      </w:r>
      <w:proofErr w:type="spellEnd"/>
      <w:r w:rsidR="00C502CC">
        <w:rPr>
          <w:rFonts w:ascii="Garamond" w:hAnsi="Garamond"/>
          <w:sz w:val="24"/>
          <w:szCs w:val="24"/>
        </w:rPr>
        <w:t xml:space="preserve">; </w:t>
      </w:r>
      <w:r w:rsidRPr="00E62175">
        <w:rPr>
          <w:rFonts w:ascii="Garamond" w:hAnsi="Garamond"/>
          <w:sz w:val="24"/>
          <w:szCs w:val="24"/>
        </w:rPr>
        <w:t>Decisión e instrumentos jurídicos de la PESC</w:t>
      </w:r>
      <w:r w:rsidR="00C502CC">
        <w:rPr>
          <w:rFonts w:ascii="Garamond" w:hAnsi="Garamond"/>
          <w:sz w:val="24"/>
          <w:szCs w:val="24"/>
        </w:rPr>
        <w:t xml:space="preserve">; </w:t>
      </w:r>
      <w:r w:rsidRPr="00E62175">
        <w:rPr>
          <w:rFonts w:ascii="Garamond" w:hAnsi="Garamond"/>
          <w:sz w:val="24"/>
          <w:szCs w:val="24"/>
        </w:rPr>
        <w:t>La ejecución de la PESC. Las obligaciones jurídicas de los Estados miembros</w:t>
      </w:r>
      <w:r w:rsidR="00C502CC">
        <w:rPr>
          <w:rFonts w:ascii="Garamond" w:hAnsi="Garamond"/>
          <w:sz w:val="24"/>
          <w:szCs w:val="24"/>
        </w:rPr>
        <w:t xml:space="preserve">; </w:t>
      </w:r>
      <w:r w:rsidRPr="00E62175">
        <w:rPr>
          <w:rFonts w:ascii="Garamond" w:hAnsi="Garamond"/>
          <w:sz w:val="24"/>
          <w:szCs w:val="24"/>
        </w:rPr>
        <w:t>Contenido y realizaciones de la PESC.</w:t>
      </w:r>
    </w:p>
    <w:p w14:paraId="16534D16" w14:textId="77777777" w:rsidR="001F5741" w:rsidRPr="001F5741" w:rsidRDefault="001F5741" w:rsidP="001F5741">
      <w:pPr>
        <w:tabs>
          <w:tab w:val="left" w:pos="1147"/>
        </w:tabs>
        <w:spacing w:after="0" w:line="240" w:lineRule="auto"/>
        <w:jc w:val="both"/>
        <w:rPr>
          <w:rFonts w:ascii="Garamond" w:hAnsi="Garamond"/>
          <w:sz w:val="24"/>
          <w:szCs w:val="24"/>
        </w:rPr>
      </w:pPr>
    </w:p>
    <w:p w14:paraId="14C11252"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Tema 6.</w:t>
      </w:r>
      <w:r w:rsidRPr="00E62175">
        <w:rPr>
          <w:rFonts w:ascii="Garamond" w:hAnsi="Garamond"/>
          <w:b/>
          <w:bCs/>
          <w:sz w:val="24"/>
          <w:szCs w:val="24"/>
        </w:rPr>
        <w:t xml:space="preserve"> La Política Común de Seguridad y Defensa.</w:t>
      </w:r>
    </w:p>
    <w:p w14:paraId="2C52B680" w14:textId="5C83C1A6" w:rsidR="001F5741" w:rsidRPr="00415BE5" w:rsidRDefault="001F5741" w:rsidP="00415BE5">
      <w:pPr>
        <w:tabs>
          <w:tab w:val="left" w:pos="1147"/>
        </w:tabs>
        <w:spacing w:after="0" w:line="240" w:lineRule="auto"/>
        <w:jc w:val="both"/>
        <w:rPr>
          <w:rFonts w:ascii="Garamond" w:hAnsi="Garamond"/>
          <w:sz w:val="24"/>
          <w:szCs w:val="24"/>
        </w:rPr>
      </w:pPr>
      <w:r w:rsidRPr="00415BE5">
        <w:rPr>
          <w:rFonts w:ascii="Garamond" w:hAnsi="Garamond"/>
          <w:sz w:val="24"/>
          <w:szCs w:val="24"/>
        </w:rPr>
        <w:t>La PCSD: objetivos y ámbito competencial de una política intergubernamental</w:t>
      </w:r>
      <w:r w:rsidR="00415BE5">
        <w:rPr>
          <w:rFonts w:ascii="Garamond" w:hAnsi="Garamond"/>
          <w:sz w:val="24"/>
          <w:szCs w:val="24"/>
        </w:rPr>
        <w:t xml:space="preserve">; </w:t>
      </w:r>
      <w:r w:rsidRPr="00E62175">
        <w:rPr>
          <w:rFonts w:ascii="Garamond" w:hAnsi="Garamond"/>
          <w:sz w:val="24"/>
          <w:szCs w:val="24"/>
        </w:rPr>
        <w:t>De la PESD a la PCSD: de la seguridad a una defensa común</w:t>
      </w:r>
      <w:r w:rsidR="00415BE5">
        <w:rPr>
          <w:rFonts w:ascii="Garamond" w:hAnsi="Garamond"/>
          <w:sz w:val="24"/>
          <w:szCs w:val="24"/>
        </w:rPr>
        <w:t xml:space="preserve">; </w:t>
      </w:r>
      <w:r w:rsidRPr="00E62175">
        <w:rPr>
          <w:rFonts w:ascii="Garamond" w:hAnsi="Garamond"/>
          <w:sz w:val="24"/>
          <w:szCs w:val="24"/>
        </w:rPr>
        <w:t>Condicionantes políticos de la PCSD: las divergencias entre los Estados miembros, la falta de recursos y la competencia/compatibilidad con la OTAN</w:t>
      </w:r>
      <w:r w:rsidR="00415BE5">
        <w:rPr>
          <w:rFonts w:ascii="Garamond" w:hAnsi="Garamond"/>
          <w:sz w:val="24"/>
          <w:szCs w:val="24"/>
        </w:rPr>
        <w:t xml:space="preserve">; </w:t>
      </w:r>
      <w:r w:rsidRPr="00E62175">
        <w:rPr>
          <w:rFonts w:ascii="Garamond" w:hAnsi="Garamond"/>
          <w:sz w:val="24"/>
          <w:szCs w:val="24"/>
        </w:rPr>
        <w:t>Los órganos específicos de la PCSD</w:t>
      </w:r>
      <w:r w:rsidR="00415BE5">
        <w:rPr>
          <w:rFonts w:ascii="Garamond" w:hAnsi="Garamond"/>
          <w:sz w:val="24"/>
          <w:szCs w:val="24"/>
        </w:rPr>
        <w:t xml:space="preserve">; </w:t>
      </w:r>
      <w:r w:rsidRPr="00E62175">
        <w:rPr>
          <w:rFonts w:ascii="Garamond" w:hAnsi="Garamond"/>
          <w:sz w:val="24"/>
          <w:szCs w:val="24"/>
        </w:rPr>
        <w:t>La cooperación PCSD hasta la fecha: gestión de crisis, capacidades y armamento, industria de defensa</w:t>
      </w:r>
      <w:r w:rsidR="00415BE5">
        <w:rPr>
          <w:rFonts w:ascii="Garamond" w:hAnsi="Garamond"/>
          <w:sz w:val="24"/>
          <w:szCs w:val="24"/>
        </w:rPr>
        <w:t xml:space="preserve">; </w:t>
      </w:r>
      <w:r w:rsidRPr="00E62175">
        <w:rPr>
          <w:rFonts w:ascii="Garamond" w:hAnsi="Garamond"/>
          <w:sz w:val="24"/>
          <w:szCs w:val="24"/>
        </w:rPr>
        <w:t>La activación de la cláusula de defensa mutua de 42.7 del TUE por Francia en 2015</w:t>
      </w:r>
      <w:r w:rsidR="00415BE5">
        <w:rPr>
          <w:rFonts w:ascii="Garamond" w:hAnsi="Garamond"/>
          <w:sz w:val="24"/>
          <w:szCs w:val="24"/>
        </w:rPr>
        <w:t xml:space="preserve">; </w:t>
      </w:r>
      <w:r w:rsidRPr="00E62175">
        <w:rPr>
          <w:rFonts w:ascii="Garamond" w:hAnsi="Garamond"/>
          <w:sz w:val="24"/>
          <w:szCs w:val="24"/>
        </w:rPr>
        <w:t>La cooperación en materia de defensa entre los Estados miembros fuera de los Tratados</w:t>
      </w:r>
      <w:r w:rsidR="00415BE5">
        <w:rPr>
          <w:rFonts w:ascii="Garamond" w:hAnsi="Garamond"/>
          <w:sz w:val="24"/>
          <w:szCs w:val="24"/>
        </w:rPr>
        <w:t xml:space="preserve">; </w:t>
      </w:r>
      <w:r w:rsidRPr="00415BE5">
        <w:rPr>
          <w:rFonts w:ascii="Garamond" w:hAnsi="Garamond"/>
          <w:sz w:val="24"/>
          <w:szCs w:val="24"/>
        </w:rPr>
        <w:t>Tras el Brexit: la puesta en marcha de la PCSD con el objetivo de alcanzar la autonomía estratégica</w:t>
      </w:r>
      <w:r w:rsidR="00415BE5">
        <w:rPr>
          <w:rFonts w:ascii="Garamond" w:hAnsi="Garamond"/>
          <w:sz w:val="24"/>
          <w:szCs w:val="24"/>
        </w:rPr>
        <w:t xml:space="preserve">; </w:t>
      </w:r>
      <w:r w:rsidRPr="00415BE5">
        <w:rPr>
          <w:rFonts w:ascii="Garamond" w:hAnsi="Garamond"/>
          <w:sz w:val="24"/>
          <w:szCs w:val="24"/>
        </w:rPr>
        <w:t>Avances de la PCSD como consecuencia de la agresión rusa a Ucrania: agenda de Versalles y Brújula Estratégica</w:t>
      </w:r>
      <w:r w:rsidR="00415BE5">
        <w:rPr>
          <w:rFonts w:ascii="Garamond" w:hAnsi="Garamond"/>
          <w:sz w:val="24"/>
          <w:szCs w:val="24"/>
        </w:rPr>
        <w:t xml:space="preserve">; </w:t>
      </w:r>
      <w:r w:rsidRPr="00415BE5">
        <w:rPr>
          <w:rFonts w:ascii="Garamond" w:hAnsi="Garamond"/>
          <w:sz w:val="24"/>
          <w:szCs w:val="24"/>
        </w:rPr>
        <w:t xml:space="preserve">La defensa en la actualidad: ¿el Libro Blanco </w:t>
      </w:r>
      <w:proofErr w:type="spellStart"/>
      <w:r w:rsidRPr="00415BE5">
        <w:rPr>
          <w:rFonts w:ascii="Garamond" w:hAnsi="Garamond"/>
          <w:sz w:val="24"/>
          <w:szCs w:val="24"/>
        </w:rPr>
        <w:t>Preparedness</w:t>
      </w:r>
      <w:proofErr w:type="spellEnd"/>
      <w:r w:rsidRPr="00415BE5">
        <w:rPr>
          <w:rFonts w:ascii="Garamond" w:hAnsi="Garamond"/>
          <w:sz w:val="24"/>
          <w:szCs w:val="24"/>
        </w:rPr>
        <w:t xml:space="preserve"> 2030 supone una </w:t>
      </w:r>
      <w:proofErr w:type="spellStart"/>
      <w:r w:rsidRPr="00415BE5">
        <w:rPr>
          <w:rFonts w:ascii="Garamond" w:hAnsi="Garamond"/>
          <w:sz w:val="24"/>
          <w:szCs w:val="24"/>
        </w:rPr>
        <w:t>comunitarización</w:t>
      </w:r>
      <w:proofErr w:type="spellEnd"/>
      <w:r w:rsidRPr="00415BE5">
        <w:rPr>
          <w:rFonts w:ascii="Garamond" w:hAnsi="Garamond"/>
          <w:sz w:val="24"/>
          <w:szCs w:val="24"/>
        </w:rPr>
        <w:t xml:space="preserve"> de la PCSD?</w:t>
      </w:r>
    </w:p>
    <w:p w14:paraId="7C301314" w14:textId="77777777" w:rsidR="001F5741" w:rsidRPr="001F5741" w:rsidRDefault="001F5741" w:rsidP="001F5741">
      <w:pPr>
        <w:tabs>
          <w:tab w:val="left" w:pos="1147"/>
        </w:tabs>
        <w:spacing w:after="0" w:line="240" w:lineRule="auto"/>
        <w:jc w:val="both"/>
        <w:rPr>
          <w:rFonts w:ascii="Garamond" w:hAnsi="Garamond"/>
          <w:sz w:val="24"/>
          <w:szCs w:val="24"/>
        </w:rPr>
      </w:pPr>
    </w:p>
    <w:p w14:paraId="5B58EA83"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 xml:space="preserve">Tema 7. </w:t>
      </w:r>
      <w:r w:rsidRPr="00621F02">
        <w:rPr>
          <w:rFonts w:ascii="Garamond" w:hAnsi="Garamond"/>
          <w:b/>
          <w:bCs/>
          <w:sz w:val="24"/>
          <w:szCs w:val="24"/>
        </w:rPr>
        <w:t>Las relaciones exteriores de contenido económico: comercio, desarrollo, ayuda humanitaria. La dimensión exterior de las políticas comunes.</w:t>
      </w:r>
    </w:p>
    <w:p w14:paraId="6DE1D535" w14:textId="05E10CDB" w:rsidR="001F5741" w:rsidRPr="00621F02" w:rsidRDefault="001F5741" w:rsidP="00467C73">
      <w:pPr>
        <w:tabs>
          <w:tab w:val="left" w:pos="1147"/>
        </w:tabs>
        <w:spacing w:after="0" w:line="240" w:lineRule="auto"/>
        <w:jc w:val="both"/>
        <w:rPr>
          <w:rFonts w:ascii="Garamond" w:hAnsi="Garamond"/>
          <w:sz w:val="24"/>
          <w:szCs w:val="24"/>
        </w:rPr>
      </w:pPr>
      <w:r w:rsidRPr="00467C73">
        <w:rPr>
          <w:rFonts w:ascii="Garamond" w:hAnsi="Garamond"/>
          <w:sz w:val="24"/>
          <w:szCs w:val="24"/>
        </w:rPr>
        <w:t>El actor económico y social Unión Europea: elementos comunes de las políticas de comercio, desarrollo y ayuda humanitaria</w:t>
      </w:r>
      <w:r w:rsidR="00467C73">
        <w:rPr>
          <w:rFonts w:ascii="Garamond" w:hAnsi="Garamond"/>
          <w:sz w:val="24"/>
          <w:szCs w:val="24"/>
        </w:rPr>
        <w:t xml:space="preserve">; </w:t>
      </w:r>
      <w:r w:rsidRPr="00467C73">
        <w:rPr>
          <w:rFonts w:ascii="Garamond" w:hAnsi="Garamond"/>
          <w:sz w:val="24"/>
          <w:szCs w:val="24"/>
        </w:rPr>
        <w:t>La Política Comercial Común: objetivos, ámbito competencial, decisión y conclusión de acuerdos</w:t>
      </w:r>
      <w:r w:rsidR="00467C73">
        <w:rPr>
          <w:rFonts w:ascii="Garamond" w:hAnsi="Garamond"/>
          <w:sz w:val="24"/>
          <w:szCs w:val="24"/>
        </w:rPr>
        <w:t xml:space="preserve">; </w:t>
      </w:r>
      <w:r w:rsidRPr="00467C73">
        <w:rPr>
          <w:rFonts w:ascii="Garamond" w:hAnsi="Garamond"/>
          <w:sz w:val="24"/>
          <w:szCs w:val="24"/>
        </w:rPr>
        <w:t>La Política de Cooperación para el Desarrollo: objetivos, peculiaridad competencial, decisión y ejecución</w:t>
      </w:r>
      <w:r w:rsidR="00467C73">
        <w:rPr>
          <w:rFonts w:ascii="Garamond" w:hAnsi="Garamond"/>
          <w:sz w:val="24"/>
          <w:szCs w:val="24"/>
        </w:rPr>
        <w:t xml:space="preserve">; </w:t>
      </w:r>
      <w:r w:rsidRPr="00467C73">
        <w:rPr>
          <w:rFonts w:ascii="Garamond" w:hAnsi="Garamond"/>
          <w:sz w:val="24"/>
          <w:szCs w:val="24"/>
        </w:rPr>
        <w:t>La Ayuda Humanitaria: objetivos, peculiaridad competencial, decisión y ejecución</w:t>
      </w:r>
      <w:r w:rsidR="00467C73">
        <w:rPr>
          <w:rFonts w:ascii="Garamond" w:hAnsi="Garamond"/>
          <w:sz w:val="24"/>
          <w:szCs w:val="24"/>
        </w:rPr>
        <w:t xml:space="preserve">; </w:t>
      </w:r>
      <w:r w:rsidRPr="00621F02">
        <w:rPr>
          <w:rFonts w:ascii="Garamond" w:hAnsi="Garamond"/>
          <w:sz w:val="24"/>
          <w:szCs w:val="24"/>
        </w:rPr>
        <w:t>La dimensión exterior de la Política de Medio Ambiente: el cambio climático</w:t>
      </w:r>
      <w:r w:rsidR="00467C73">
        <w:rPr>
          <w:rFonts w:ascii="Garamond" w:hAnsi="Garamond"/>
          <w:sz w:val="24"/>
          <w:szCs w:val="24"/>
        </w:rPr>
        <w:t xml:space="preserve">; </w:t>
      </w:r>
      <w:r w:rsidRPr="00621F02">
        <w:rPr>
          <w:rFonts w:ascii="Garamond" w:hAnsi="Garamond"/>
          <w:sz w:val="24"/>
          <w:szCs w:val="24"/>
        </w:rPr>
        <w:t>Las relaciones exteriores como instrumento para la ejecución de otras políticas comunes: la Política Migratoria Común y la Política Energética Común como ejemplos.</w:t>
      </w:r>
    </w:p>
    <w:p w14:paraId="0BBD5741" w14:textId="77777777" w:rsidR="001F5741" w:rsidRDefault="001F5741" w:rsidP="001F5741">
      <w:pPr>
        <w:tabs>
          <w:tab w:val="left" w:pos="1147"/>
        </w:tabs>
        <w:spacing w:after="0" w:line="240" w:lineRule="auto"/>
        <w:jc w:val="both"/>
        <w:rPr>
          <w:rFonts w:ascii="Garamond" w:hAnsi="Garamond"/>
          <w:sz w:val="24"/>
          <w:szCs w:val="24"/>
        </w:rPr>
      </w:pPr>
    </w:p>
    <w:p w14:paraId="18BA3A1C" w14:textId="77777777" w:rsidR="00613FA9" w:rsidRDefault="00613FA9" w:rsidP="001F5741">
      <w:pPr>
        <w:tabs>
          <w:tab w:val="left" w:pos="1147"/>
        </w:tabs>
        <w:spacing w:after="0" w:line="240" w:lineRule="auto"/>
        <w:jc w:val="both"/>
        <w:rPr>
          <w:rFonts w:ascii="Garamond" w:hAnsi="Garamond"/>
          <w:sz w:val="24"/>
          <w:szCs w:val="24"/>
        </w:rPr>
      </w:pPr>
    </w:p>
    <w:p w14:paraId="1FE5E641" w14:textId="77777777" w:rsidR="00613FA9" w:rsidRPr="001F5741" w:rsidRDefault="00613FA9" w:rsidP="001F5741">
      <w:pPr>
        <w:tabs>
          <w:tab w:val="left" w:pos="1147"/>
        </w:tabs>
        <w:spacing w:after="0" w:line="240" w:lineRule="auto"/>
        <w:jc w:val="both"/>
        <w:rPr>
          <w:rFonts w:ascii="Garamond" w:hAnsi="Garamond"/>
          <w:sz w:val="24"/>
          <w:szCs w:val="24"/>
        </w:rPr>
      </w:pPr>
    </w:p>
    <w:p w14:paraId="79C91BF8"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lastRenderedPageBreak/>
        <w:t xml:space="preserve">Tema 8. </w:t>
      </w:r>
      <w:r w:rsidRPr="00621F02">
        <w:rPr>
          <w:rFonts w:ascii="Garamond" w:hAnsi="Garamond"/>
          <w:b/>
          <w:bCs/>
          <w:sz w:val="24"/>
          <w:szCs w:val="24"/>
        </w:rPr>
        <w:t>La acción exterior de la Unión Europea en su entorno inmediato: ampliación y vecindad.</w:t>
      </w:r>
    </w:p>
    <w:p w14:paraId="00ABB5FB" w14:textId="7083BB3E" w:rsidR="001F5741" w:rsidRPr="00621F02" w:rsidRDefault="001F5741" w:rsidP="00467C73">
      <w:pPr>
        <w:tabs>
          <w:tab w:val="left" w:pos="1147"/>
        </w:tabs>
        <w:spacing w:after="0" w:line="240" w:lineRule="auto"/>
        <w:jc w:val="both"/>
        <w:rPr>
          <w:rFonts w:ascii="Garamond" w:hAnsi="Garamond"/>
          <w:sz w:val="24"/>
          <w:szCs w:val="24"/>
        </w:rPr>
      </w:pPr>
      <w:r w:rsidRPr="00467C73">
        <w:rPr>
          <w:rFonts w:ascii="Garamond" w:hAnsi="Garamond"/>
          <w:sz w:val="24"/>
          <w:szCs w:val="24"/>
        </w:rPr>
        <w:t>La Política de Ampliación (art. 49 TUE): hacer del deseo de adherirse de terceros una herramienta geopolítica</w:t>
      </w:r>
      <w:r w:rsidR="00467C73">
        <w:rPr>
          <w:rFonts w:ascii="Garamond" w:hAnsi="Garamond"/>
          <w:sz w:val="24"/>
          <w:szCs w:val="24"/>
        </w:rPr>
        <w:t xml:space="preserve">; </w:t>
      </w:r>
      <w:r w:rsidRPr="00467C73">
        <w:rPr>
          <w:rFonts w:ascii="Garamond" w:hAnsi="Garamond"/>
          <w:sz w:val="24"/>
          <w:szCs w:val="24"/>
        </w:rPr>
        <w:t>La Preadhesión y sus:</w:t>
      </w:r>
      <w:r w:rsidR="0075643C" w:rsidRPr="00467C73">
        <w:rPr>
          <w:rFonts w:ascii="Garamond" w:hAnsi="Garamond"/>
          <w:sz w:val="24"/>
          <w:szCs w:val="24"/>
        </w:rPr>
        <w:t xml:space="preserve"> </w:t>
      </w:r>
      <w:r w:rsidRPr="00467C73">
        <w:rPr>
          <w:rFonts w:ascii="Garamond" w:hAnsi="Garamond"/>
          <w:sz w:val="24"/>
          <w:szCs w:val="24"/>
        </w:rPr>
        <w:t>nuevas dinámicas</w:t>
      </w:r>
      <w:r w:rsidR="00467C73">
        <w:rPr>
          <w:rFonts w:ascii="Garamond" w:hAnsi="Garamond"/>
          <w:sz w:val="24"/>
          <w:szCs w:val="24"/>
        </w:rPr>
        <w:t xml:space="preserve">; </w:t>
      </w:r>
      <w:r w:rsidRPr="00621F02">
        <w:rPr>
          <w:rFonts w:ascii="Garamond" w:hAnsi="Garamond"/>
          <w:sz w:val="24"/>
          <w:szCs w:val="24"/>
        </w:rPr>
        <w:t>La Política Europea de Vecindad (art. 8 TUE): una política normativa para estabilizar el entorno próximo</w:t>
      </w:r>
      <w:r w:rsidR="00467C73">
        <w:rPr>
          <w:rFonts w:ascii="Garamond" w:hAnsi="Garamond"/>
          <w:sz w:val="24"/>
          <w:szCs w:val="24"/>
        </w:rPr>
        <w:t xml:space="preserve">; </w:t>
      </w:r>
      <w:r w:rsidRPr="00467C73">
        <w:rPr>
          <w:rFonts w:ascii="Garamond" w:hAnsi="Garamond"/>
          <w:sz w:val="24"/>
          <w:szCs w:val="24"/>
        </w:rPr>
        <w:t>La política de vecindad: filosofía, instrumentos, instituciones y evolución</w:t>
      </w:r>
      <w:r w:rsidR="00467C73">
        <w:rPr>
          <w:rFonts w:ascii="Garamond" w:hAnsi="Garamond"/>
          <w:sz w:val="24"/>
          <w:szCs w:val="24"/>
        </w:rPr>
        <w:t xml:space="preserve">; </w:t>
      </w:r>
      <w:r w:rsidRPr="00621F02">
        <w:rPr>
          <w:rFonts w:ascii="Garamond" w:hAnsi="Garamond"/>
          <w:sz w:val="24"/>
          <w:szCs w:val="24"/>
        </w:rPr>
        <w:t>La política de vecindad hacia el Este: realizaciones y limitaciones</w:t>
      </w:r>
      <w:r w:rsidR="00467C73">
        <w:rPr>
          <w:rFonts w:ascii="Garamond" w:hAnsi="Garamond"/>
          <w:sz w:val="24"/>
          <w:szCs w:val="24"/>
        </w:rPr>
        <w:t xml:space="preserve">; </w:t>
      </w:r>
      <w:r w:rsidRPr="00621F02">
        <w:rPr>
          <w:rFonts w:ascii="Garamond" w:hAnsi="Garamond"/>
          <w:sz w:val="24"/>
          <w:szCs w:val="24"/>
        </w:rPr>
        <w:t>La política de vecindad hacia el Sur: realizaciones y limitaciones.</w:t>
      </w:r>
    </w:p>
    <w:p w14:paraId="69EDE746" w14:textId="77777777" w:rsidR="001F5741" w:rsidRPr="001F5741" w:rsidRDefault="001F5741" w:rsidP="001F5741">
      <w:pPr>
        <w:tabs>
          <w:tab w:val="left" w:pos="1147"/>
        </w:tabs>
        <w:spacing w:after="0" w:line="240" w:lineRule="auto"/>
        <w:jc w:val="both"/>
        <w:rPr>
          <w:rFonts w:ascii="Garamond" w:hAnsi="Garamond"/>
          <w:sz w:val="24"/>
          <w:szCs w:val="24"/>
        </w:rPr>
      </w:pPr>
    </w:p>
    <w:p w14:paraId="66CE5167" w14:textId="77777777" w:rsidR="001F5741" w:rsidRPr="00621F02" w:rsidRDefault="001F5741" w:rsidP="001F5741">
      <w:pPr>
        <w:tabs>
          <w:tab w:val="left" w:pos="1147"/>
        </w:tabs>
        <w:spacing w:after="0" w:line="240" w:lineRule="auto"/>
        <w:jc w:val="both"/>
        <w:rPr>
          <w:rFonts w:ascii="Garamond" w:hAnsi="Garamond"/>
          <w:b/>
          <w:bCs/>
          <w:sz w:val="24"/>
          <w:szCs w:val="24"/>
        </w:rPr>
      </w:pPr>
      <w:r w:rsidRPr="00621F02">
        <w:rPr>
          <w:rFonts w:ascii="Garamond" w:hAnsi="Garamond"/>
          <w:b/>
          <w:bCs/>
          <w:sz w:val="24"/>
          <w:szCs w:val="24"/>
        </w:rPr>
        <w:t>PARTE III: LA POLÍTICA EXTERIOR DE LA UE EN LA PRÁCTICA: REALIZACIONES Y LIMITACIONES.</w:t>
      </w:r>
    </w:p>
    <w:p w14:paraId="1415C89E" w14:textId="77777777" w:rsidR="001F5741" w:rsidRPr="001F5741" w:rsidRDefault="001F5741" w:rsidP="001F5741">
      <w:pPr>
        <w:tabs>
          <w:tab w:val="left" w:pos="1147"/>
        </w:tabs>
        <w:spacing w:after="0" w:line="240" w:lineRule="auto"/>
        <w:jc w:val="both"/>
        <w:rPr>
          <w:rFonts w:ascii="Garamond" w:hAnsi="Garamond"/>
          <w:sz w:val="24"/>
          <w:szCs w:val="24"/>
        </w:rPr>
      </w:pPr>
    </w:p>
    <w:p w14:paraId="22BE13F7"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 xml:space="preserve">Tema 9. </w:t>
      </w:r>
      <w:r w:rsidRPr="00621F02">
        <w:rPr>
          <w:rFonts w:ascii="Garamond" w:hAnsi="Garamond"/>
          <w:b/>
          <w:bCs/>
          <w:sz w:val="24"/>
          <w:szCs w:val="24"/>
        </w:rPr>
        <w:t>Los objetivos de la Política Exterior Común: de la Estrategia Europea de Seguridad a la Estrategia Global para una Política Exterior y de Seguridad de la UE.</w:t>
      </w:r>
    </w:p>
    <w:p w14:paraId="33067649" w14:textId="3D6E7DF3" w:rsidR="001F5741" w:rsidRPr="00621F02" w:rsidRDefault="001F5741" w:rsidP="009425BF">
      <w:pPr>
        <w:tabs>
          <w:tab w:val="left" w:pos="1147"/>
        </w:tabs>
        <w:spacing w:after="0" w:line="240" w:lineRule="auto"/>
        <w:jc w:val="both"/>
        <w:rPr>
          <w:rFonts w:ascii="Garamond" w:hAnsi="Garamond"/>
          <w:sz w:val="24"/>
          <w:szCs w:val="24"/>
        </w:rPr>
      </w:pPr>
      <w:r w:rsidRPr="009425BF">
        <w:rPr>
          <w:rFonts w:ascii="Garamond" w:hAnsi="Garamond"/>
          <w:sz w:val="24"/>
          <w:szCs w:val="24"/>
        </w:rPr>
        <w:t>El antecedente del objetivo estratégico de la PEC: el marco de Lisboa</w:t>
      </w:r>
      <w:r w:rsidR="009425BF">
        <w:rPr>
          <w:rFonts w:ascii="Garamond" w:hAnsi="Garamond"/>
          <w:sz w:val="24"/>
          <w:szCs w:val="24"/>
        </w:rPr>
        <w:t xml:space="preserve">; </w:t>
      </w:r>
      <w:r w:rsidRPr="009425BF">
        <w:rPr>
          <w:rFonts w:ascii="Garamond" w:hAnsi="Garamond"/>
          <w:sz w:val="24"/>
          <w:szCs w:val="24"/>
        </w:rPr>
        <w:t>La Estrategia Europea de Seguridad de 2003 y su revisión en 2008: contexto, objeto y prioridades</w:t>
      </w:r>
      <w:r w:rsidR="009425BF">
        <w:rPr>
          <w:rFonts w:ascii="Garamond" w:hAnsi="Garamond"/>
          <w:sz w:val="24"/>
          <w:szCs w:val="24"/>
        </w:rPr>
        <w:t xml:space="preserve">; </w:t>
      </w:r>
      <w:r w:rsidRPr="00621F02">
        <w:rPr>
          <w:rFonts w:ascii="Garamond" w:hAnsi="Garamond"/>
          <w:sz w:val="24"/>
          <w:szCs w:val="24"/>
        </w:rPr>
        <w:t>Evaluación de la aplicación de la Estrategia Europea de Seguridad</w:t>
      </w:r>
      <w:r w:rsidR="009425BF">
        <w:rPr>
          <w:rFonts w:ascii="Garamond" w:hAnsi="Garamond"/>
          <w:sz w:val="24"/>
          <w:szCs w:val="24"/>
        </w:rPr>
        <w:t xml:space="preserve">; </w:t>
      </w:r>
      <w:r w:rsidRPr="00621F02">
        <w:rPr>
          <w:rFonts w:ascii="Garamond" w:hAnsi="Garamond"/>
          <w:sz w:val="24"/>
          <w:szCs w:val="24"/>
        </w:rPr>
        <w:t>La Estrategia Global para una Política Exterior y de Seguridad de la UE de 2016: contexto y redacción</w:t>
      </w:r>
      <w:r w:rsidR="009425BF">
        <w:rPr>
          <w:rFonts w:ascii="Garamond" w:hAnsi="Garamond"/>
          <w:sz w:val="24"/>
          <w:szCs w:val="24"/>
        </w:rPr>
        <w:t xml:space="preserve">; </w:t>
      </w:r>
      <w:r w:rsidRPr="00621F02">
        <w:rPr>
          <w:rFonts w:ascii="Garamond" w:hAnsi="Garamond"/>
          <w:sz w:val="24"/>
          <w:szCs w:val="24"/>
        </w:rPr>
        <w:t>La Estrategia Global: objetivos, principios, prioridades y medios para la acción común</w:t>
      </w:r>
      <w:r w:rsidR="009425BF">
        <w:rPr>
          <w:rFonts w:ascii="Garamond" w:hAnsi="Garamond"/>
          <w:sz w:val="24"/>
          <w:szCs w:val="24"/>
        </w:rPr>
        <w:t xml:space="preserve">; </w:t>
      </w:r>
      <w:r w:rsidRPr="00621F02">
        <w:rPr>
          <w:rFonts w:ascii="Garamond" w:hAnsi="Garamond"/>
          <w:sz w:val="24"/>
          <w:szCs w:val="24"/>
        </w:rPr>
        <w:t>Evaluación de la aplicación de la Estrategia Global de la UE</w:t>
      </w:r>
      <w:r w:rsidR="009425BF">
        <w:rPr>
          <w:rFonts w:ascii="Garamond" w:hAnsi="Garamond"/>
          <w:sz w:val="24"/>
          <w:szCs w:val="24"/>
        </w:rPr>
        <w:t xml:space="preserve">; </w:t>
      </w:r>
      <w:r w:rsidRPr="00621F02">
        <w:rPr>
          <w:rFonts w:ascii="Garamond" w:hAnsi="Garamond"/>
          <w:sz w:val="24"/>
          <w:szCs w:val="24"/>
        </w:rPr>
        <w:t>Diferencias entre la Estrategia Global y la Brújula Estratégica</w:t>
      </w:r>
      <w:r w:rsidR="009425BF">
        <w:rPr>
          <w:rFonts w:ascii="Garamond" w:hAnsi="Garamond"/>
          <w:sz w:val="24"/>
          <w:szCs w:val="24"/>
        </w:rPr>
        <w:t xml:space="preserve">; </w:t>
      </w:r>
      <w:r w:rsidRPr="00621F02">
        <w:rPr>
          <w:rFonts w:ascii="Garamond" w:hAnsi="Garamond"/>
          <w:sz w:val="24"/>
          <w:szCs w:val="24"/>
        </w:rPr>
        <w:t>¿Es necesaria una nueva Estrategia?</w:t>
      </w:r>
    </w:p>
    <w:p w14:paraId="19F4A092" w14:textId="77777777" w:rsidR="001F5741" w:rsidRPr="001F5741" w:rsidRDefault="001F5741" w:rsidP="001F5741">
      <w:pPr>
        <w:tabs>
          <w:tab w:val="left" w:pos="1147"/>
        </w:tabs>
        <w:spacing w:after="0" w:line="240" w:lineRule="auto"/>
        <w:jc w:val="both"/>
        <w:rPr>
          <w:rFonts w:ascii="Garamond" w:hAnsi="Garamond"/>
          <w:sz w:val="24"/>
          <w:szCs w:val="24"/>
        </w:rPr>
      </w:pPr>
    </w:p>
    <w:p w14:paraId="58C0B08B" w14:textId="77777777" w:rsidR="001F5741" w:rsidRPr="00B17A34"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10. </w:t>
      </w:r>
      <w:r w:rsidRPr="00B17A34">
        <w:rPr>
          <w:rFonts w:ascii="Garamond" w:hAnsi="Garamond"/>
          <w:b/>
          <w:bCs/>
          <w:sz w:val="24"/>
          <w:szCs w:val="24"/>
        </w:rPr>
        <w:t>Resultados de la acción exterior de la Unión Europea: derechos humanos y democracia, comercio, desarrollo, multilateralismo y defensa del Derecho Internacional, regionalización y gestión de conflictos.</w:t>
      </w:r>
    </w:p>
    <w:p w14:paraId="787A820B" w14:textId="3B924BE5" w:rsidR="001F5741" w:rsidRPr="004E5D1C" w:rsidRDefault="001F5741" w:rsidP="00D14765">
      <w:pPr>
        <w:tabs>
          <w:tab w:val="left" w:pos="1147"/>
        </w:tabs>
        <w:spacing w:after="0" w:line="240" w:lineRule="auto"/>
        <w:jc w:val="both"/>
        <w:rPr>
          <w:rFonts w:ascii="Garamond" w:hAnsi="Garamond"/>
          <w:sz w:val="24"/>
          <w:szCs w:val="24"/>
        </w:rPr>
      </w:pPr>
      <w:r w:rsidRPr="00D14765">
        <w:rPr>
          <w:rFonts w:ascii="Garamond" w:hAnsi="Garamond"/>
          <w:sz w:val="24"/>
          <w:szCs w:val="24"/>
        </w:rPr>
        <w:t>Los ejes de la PEC: analizando la realidad de la acción exterior de la UE</w:t>
      </w:r>
      <w:r w:rsidR="00D14765">
        <w:rPr>
          <w:rFonts w:ascii="Garamond" w:hAnsi="Garamond"/>
          <w:sz w:val="24"/>
          <w:szCs w:val="24"/>
        </w:rPr>
        <w:t xml:space="preserve">; </w:t>
      </w:r>
      <w:r w:rsidRPr="00D14765">
        <w:rPr>
          <w:rFonts w:ascii="Garamond" w:hAnsi="Garamond"/>
          <w:sz w:val="24"/>
          <w:szCs w:val="24"/>
        </w:rPr>
        <w:t>La condicionalidad democrática en la práctica: ¿es realmente la UE un actor normativo de las relaciones internacionales? ¿los intereses condicionan los valores?</w:t>
      </w:r>
      <w:r w:rsidR="00D14765">
        <w:rPr>
          <w:rFonts w:ascii="Garamond" w:hAnsi="Garamond"/>
          <w:sz w:val="24"/>
          <w:szCs w:val="24"/>
        </w:rPr>
        <w:t xml:space="preserve">; </w:t>
      </w:r>
      <w:r w:rsidRPr="00F077F4">
        <w:rPr>
          <w:rFonts w:ascii="Garamond" w:hAnsi="Garamond"/>
          <w:sz w:val="24"/>
          <w:szCs w:val="24"/>
        </w:rPr>
        <w:t>La UE como actor comercial: acuerdos bilaterales, birregionales y participación en organizaciones multilaterales</w:t>
      </w:r>
      <w:r w:rsidR="00D14765">
        <w:rPr>
          <w:rFonts w:ascii="Garamond" w:hAnsi="Garamond"/>
          <w:sz w:val="24"/>
          <w:szCs w:val="24"/>
        </w:rPr>
        <w:t xml:space="preserve">; </w:t>
      </w:r>
      <w:r w:rsidRPr="00F077F4">
        <w:rPr>
          <w:rFonts w:ascii="Garamond" w:hAnsi="Garamond"/>
          <w:sz w:val="24"/>
          <w:szCs w:val="24"/>
        </w:rPr>
        <w:t>La cooperación para el desarrollo: el instrumento de una potencia estructural de las relaciones internacionales</w:t>
      </w:r>
      <w:r w:rsidR="00D14765">
        <w:rPr>
          <w:rFonts w:ascii="Garamond" w:hAnsi="Garamond"/>
          <w:sz w:val="24"/>
          <w:szCs w:val="24"/>
        </w:rPr>
        <w:t xml:space="preserve">; </w:t>
      </w:r>
      <w:r w:rsidRPr="00F077F4">
        <w:rPr>
          <w:rFonts w:ascii="Garamond" w:hAnsi="Garamond"/>
          <w:sz w:val="24"/>
          <w:szCs w:val="24"/>
        </w:rPr>
        <w:t>Regulación y multilateralismo: la defensa de un sistema internacional basado en normas</w:t>
      </w:r>
      <w:r w:rsidR="00D14765">
        <w:rPr>
          <w:rFonts w:ascii="Garamond" w:hAnsi="Garamond"/>
          <w:sz w:val="24"/>
          <w:szCs w:val="24"/>
        </w:rPr>
        <w:t xml:space="preserve">; </w:t>
      </w:r>
      <w:r w:rsidRPr="00F077F4">
        <w:rPr>
          <w:rFonts w:ascii="Garamond" w:hAnsi="Garamond"/>
          <w:sz w:val="24"/>
          <w:szCs w:val="24"/>
        </w:rPr>
        <w:t>La regionalización: la promoción exterior del exitoso modelo europeo de resolución de conflictos</w:t>
      </w:r>
      <w:r w:rsidR="00D14765">
        <w:rPr>
          <w:rFonts w:ascii="Garamond" w:hAnsi="Garamond"/>
          <w:sz w:val="24"/>
          <w:szCs w:val="24"/>
        </w:rPr>
        <w:t xml:space="preserve">; </w:t>
      </w:r>
      <w:r w:rsidRPr="00F077F4">
        <w:rPr>
          <w:rFonts w:ascii="Garamond" w:hAnsi="Garamond"/>
          <w:sz w:val="24"/>
          <w:szCs w:val="24"/>
        </w:rPr>
        <w:t>La UE como actor de la seguridad internacional: prevención de conflictos, diplomacia, misiones y operaciones de gestión de crisis.</w:t>
      </w:r>
    </w:p>
    <w:p w14:paraId="0EDBD437" w14:textId="77777777" w:rsidR="001F5741" w:rsidRPr="001F5741" w:rsidRDefault="001F5741" w:rsidP="001F5741">
      <w:pPr>
        <w:tabs>
          <w:tab w:val="left" w:pos="1147"/>
        </w:tabs>
        <w:spacing w:after="0" w:line="240" w:lineRule="auto"/>
        <w:jc w:val="both"/>
        <w:rPr>
          <w:rFonts w:ascii="Garamond" w:hAnsi="Garamond"/>
          <w:sz w:val="24"/>
          <w:szCs w:val="24"/>
        </w:rPr>
      </w:pPr>
    </w:p>
    <w:p w14:paraId="2268EAF8" w14:textId="77777777" w:rsidR="001F5741" w:rsidRPr="00F077F4"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11. </w:t>
      </w:r>
      <w:r w:rsidRPr="00F077F4">
        <w:rPr>
          <w:rFonts w:ascii="Garamond" w:hAnsi="Garamond"/>
          <w:b/>
          <w:bCs/>
          <w:sz w:val="24"/>
          <w:szCs w:val="24"/>
        </w:rPr>
        <w:t>Las relaciones interregionales: ACP, África, América Latina y el Caribe, y Asia.</w:t>
      </w:r>
    </w:p>
    <w:p w14:paraId="3F62877F" w14:textId="2D0272F2" w:rsidR="001F5741" w:rsidRPr="002E0905" w:rsidRDefault="001F5741" w:rsidP="00E41E53">
      <w:pPr>
        <w:tabs>
          <w:tab w:val="left" w:pos="1147"/>
        </w:tabs>
        <w:spacing w:after="0" w:line="240" w:lineRule="auto"/>
        <w:jc w:val="both"/>
        <w:rPr>
          <w:rFonts w:ascii="Garamond" w:hAnsi="Garamond"/>
          <w:sz w:val="24"/>
          <w:szCs w:val="24"/>
        </w:rPr>
      </w:pPr>
      <w:r w:rsidRPr="00C55963">
        <w:rPr>
          <w:rFonts w:ascii="Garamond" w:hAnsi="Garamond"/>
          <w:sz w:val="24"/>
          <w:szCs w:val="24"/>
        </w:rPr>
        <w:t xml:space="preserve">La UE y el </w:t>
      </w:r>
      <w:proofErr w:type="spellStart"/>
      <w:r w:rsidRPr="00C55963">
        <w:rPr>
          <w:rFonts w:ascii="Garamond" w:hAnsi="Garamond"/>
          <w:sz w:val="24"/>
          <w:szCs w:val="24"/>
        </w:rPr>
        <w:t>interregionalismo</w:t>
      </w:r>
      <w:proofErr w:type="spellEnd"/>
      <w:r w:rsidRPr="00C55963">
        <w:rPr>
          <w:rFonts w:ascii="Garamond" w:hAnsi="Garamond"/>
          <w:sz w:val="24"/>
          <w:szCs w:val="24"/>
        </w:rPr>
        <w:t>: un enfoque diferente de las relaciones internacionales</w:t>
      </w:r>
      <w:r w:rsidR="00C55963">
        <w:rPr>
          <w:rFonts w:ascii="Garamond" w:hAnsi="Garamond"/>
          <w:sz w:val="24"/>
          <w:szCs w:val="24"/>
        </w:rPr>
        <w:t xml:space="preserve">; </w:t>
      </w:r>
      <w:r w:rsidRPr="00C55963">
        <w:rPr>
          <w:rFonts w:ascii="Garamond" w:hAnsi="Garamond"/>
          <w:sz w:val="24"/>
          <w:szCs w:val="24"/>
        </w:rPr>
        <w:t>La UE y los ACP: una longeva asociación para el desarrollo de las antiguas colonias. El Acuerdo de Samoa 2023</w:t>
      </w:r>
      <w:r w:rsidR="00E41E53">
        <w:rPr>
          <w:rFonts w:ascii="Garamond" w:hAnsi="Garamond"/>
          <w:sz w:val="24"/>
          <w:szCs w:val="24"/>
        </w:rPr>
        <w:t xml:space="preserve">; </w:t>
      </w:r>
      <w:r w:rsidRPr="002E0905">
        <w:rPr>
          <w:rFonts w:ascii="Garamond" w:hAnsi="Garamond"/>
          <w:sz w:val="24"/>
          <w:szCs w:val="24"/>
        </w:rPr>
        <w:t>El diálogo UE-África: Nuevo impulso</w:t>
      </w:r>
      <w:r w:rsidR="00E41E53">
        <w:rPr>
          <w:rFonts w:ascii="Garamond" w:hAnsi="Garamond"/>
          <w:sz w:val="24"/>
          <w:szCs w:val="24"/>
        </w:rPr>
        <w:t xml:space="preserve">; </w:t>
      </w:r>
      <w:r w:rsidRPr="002E0905">
        <w:rPr>
          <w:rFonts w:ascii="Garamond" w:hAnsi="Garamond"/>
          <w:sz w:val="24"/>
          <w:szCs w:val="24"/>
        </w:rPr>
        <w:t xml:space="preserve">La Asociación </w:t>
      </w:r>
      <w:proofErr w:type="spellStart"/>
      <w:r w:rsidRPr="002E0905">
        <w:rPr>
          <w:rFonts w:ascii="Garamond" w:hAnsi="Garamond"/>
          <w:sz w:val="24"/>
          <w:szCs w:val="24"/>
        </w:rPr>
        <w:t>Eurolatinoamericana</w:t>
      </w:r>
      <w:proofErr w:type="spellEnd"/>
      <w:r w:rsidRPr="002E0905">
        <w:rPr>
          <w:rFonts w:ascii="Garamond" w:hAnsi="Garamond"/>
          <w:sz w:val="24"/>
          <w:szCs w:val="24"/>
        </w:rPr>
        <w:t>: mismos valores, visión del mundo e impulso del comercio. Revitalización del diálogo con la CELAC bajo presidencia española</w:t>
      </w:r>
      <w:r w:rsidR="00E41E53">
        <w:rPr>
          <w:rFonts w:ascii="Garamond" w:hAnsi="Garamond"/>
          <w:sz w:val="24"/>
          <w:szCs w:val="24"/>
        </w:rPr>
        <w:t xml:space="preserve">; </w:t>
      </w:r>
      <w:r w:rsidRPr="002E0905">
        <w:rPr>
          <w:rFonts w:ascii="Garamond" w:hAnsi="Garamond"/>
          <w:sz w:val="24"/>
          <w:szCs w:val="24"/>
        </w:rPr>
        <w:t>La relación UE-Asia a través del Foro ASEM: escasa estructuración e institucionalización.</w:t>
      </w:r>
    </w:p>
    <w:p w14:paraId="41F4DAEB" w14:textId="77777777" w:rsidR="001F5741" w:rsidRPr="001F5741" w:rsidRDefault="001F5741" w:rsidP="001F5741">
      <w:pPr>
        <w:tabs>
          <w:tab w:val="left" w:pos="1147"/>
        </w:tabs>
        <w:spacing w:after="0" w:line="240" w:lineRule="auto"/>
        <w:jc w:val="both"/>
        <w:rPr>
          <w:rFonts w:ascii="Garamond" w:hAnsi="Garamond"/>
          <w:sz w:val="24"/>
          <w:szCs w:val="24"/>
        </w:rPr>
      </w:pPr>
    </w:p>
    <w:p w14:paraId="697F43A8" w14:textId="77777777" w:rsidR="001F5741" w:rsidRPr="002E0905"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12. </w:t>
      </w:r>
      <w:r w:rsidRPr="002E0905">
        <w:rPr>
          <w:rFonts w:ascii="Garamond" w:hAnsi="Garamond"/>
          <w:b/>
          <w:bCs/>
          <w:sz w:val="24"/>
          <w:szCs w:val="24"/>
        </w:rPr>
        <w:t>La Unión Europea y las relaciones estratégicas: Estados Unidos, Rusia, China y los (otros) BRICS.</w:t>
      </w:r>
    </w:p>
    <w:p w14:paraId="4A7C6860" w14:textId="21E225E4" w:rsidR="001F5741" w:rsidRPr="00E41E53" w:rsidRDefault="001F5741" w:rsidP="00E41E53">
      <w:pPr>
        <w:tabs>
          <w:tab w:val="left" w:pos="1147"/>
        </w:tabs>
        <w:spacing w:after="0" w:line="240" w:lineRule="auto"/>
        <w:jc w:val="both"/>
        <w:rPr>
          <w:rFonts w:ascii="Garamond" w:hAnsi="Garamond"/>
          <w:sz w:val="24"/>
          <w:szCs w:val="24"/>
        </w:rPr>
      </w:pPr>
      <w:r w:rsidRPr="00E41E53">
        <w:rPr>
          <w:rFonts w:ascii="Garamond" w:hAnsi="Garamond"/>
          <w:sz w:val="24"/>
          <w:szCs w:val="24"/>
        </w:rPr>
        <w:t>La UE y las Asociaciones Estratégicas: ¿relaciones bilaterales para la gobernanza global?</w:t>
      </w:r>
      <w:r w:rsidR="00E41E53">
        <w:rPr>
          <w:rFonts w:ascii="Garamond" w:hAnsi="Garamond"/>
          <w:sz w:val="24"/>
          <w:szCs w:val="24"/>
        </w:rPr>
        <w:t xml:space="preserve">; </w:t>
      </w:r>
      <w:r w:rsidRPr="00E41E53">
        <w:rPr>
          <w:rFonts w:ascii="Garamond" w:hAnsi="Garamond"/>
          <w:sz w:val="24"/>
          <w:szCs w:val="24"/>
        </w:rPr>
        <w:t>El contenido de las Asociaciones Estratégicas: puntos en común y divergencias</w:t>
      </w:r>
      <w:r w:rsidR="00E41E53">
        <w:rPr>
          <w:rFonts w:ascii="Garamond" w:hAnsi="Garamond"/>
          <w:sz w:val="24"/>
          <w:szCs w:val="24"/>
        </w:rPr>
        <w:t xml:space="preserve">; </w:t>
      </w:r>
      <w:r w:rsidRPr="002E0905">
        <w:rPr>
          <w:rFonts w:ascii="Garamond" w:hAnsi="Garamond"/>
          <w:sz w:val="24"/>
          <w:szCs w:val="24"/>
        </w:rPr>
        <w:t>La Asociación Transatlántica: ¿una asociación estratégica real?</w:t>
      </w:r>
      <w:r w:rsidR="00E41E53">
        <w:rPr>
          <w:rFonts w:ascii="Garamond" w:hAnsi="Garamond"/>
          <w:sz w:val="24"/>
          <w:szCs w:val="24"/>
        </w:rPr>
        <w:t xml:space="preserve">; </w:t>
      </w:r>
      <w:r w:rsidRPr="002E0905">
        <w:rPr>
          <w:rFonts w:ascii="Garamond" w:hAnsi="Garamond"/>
          <w:sz w:val="24"/>
          <w:szCs w:val="24"/>
        </w:rPr>
        <w:t>La Asociación Transatlántica y el Tratado Transatlántico de Comercio e Inversiones</w:t>
      </w:r>
      <w:r w:rsidR="00E41E53">
        <w:rPr>
          <w:rFonts w:ascii="Garamond" w:hAnsi="Garamond"/>
          <w:sz w:val="24"/>
          <w:szCs w:val="24"/>
        </w:rPr>
        <w:t xml:space="preserve">; </w:t>
      </w:r>
      <w:r w:rsidRPr="002E0905">
        <w:rPr>
          <w:rFonts w:ascii="Garamond" w:hAnsi="Garamond"/>
          <w:sz w:val="24"/>
          <w:szCs w:val="24"/>
        </w:rPr>
        <w:t xml:space="preserve">La Unión Europea y Rusia: de la competencia al </w:t>
      </w:r>
      <w:r w:rsidRPr="002E0905">
        <w:rPr>
          <w:rFonts w:ascii="Garamond" w:hAnsi="Garamond"/>
          <w:sz w:val="24"/>
          <w:szCs w:val="24"/>
        </w:rPr>
        <w:lastRenderedPageBreak/>
        <w:t>enfrentamiento</w:t>
      </w:r>
      <w:r w:rsidR="00E41E53">
        <w:rPr>
          <w:rFonts w:ascii="Garamond" w:hAnsi="Garamond"/>
          <w:sz w:val="24"/>
          <w:szCs w:val="24"/>
        </w:rPr>
        <w:t xml:space="preserve">; </w:t>
      </w:r>
      <w:r w:rsidRPr="002E0905">
        <w:rPr>
          <w:rFonts w:ascii="Garamond" w:hAnsi="Garamond"/>
          <w:sz w:val="24"/>
          <w:szCs w:val="24"/>
        </w:rPr>
        <w:t xml:space="preserve">El desafío de las relaciones con China: </w:t>
      </w:r>
      <w:proofErr w:type="gramStart"/>
      <w:r w:rsidRPr="002E0905">
        <w:rPr>
          <w:rFonts w:ascii="Garamond" w:hAnsi="Garamond"/>
          <w:sz w:val="24"/>
          <w:szCs w:val="24"/>
        </w:rPr>
        <w:t>socio</w:t>
      </w:r>
      <w:proofErr w:type="gramEnd"/>
      <w:r w:rsidRPr="002E0905">
        <w:rPr>
          <w:rFonts w:ascii="Garamond" w:hAnsi="Garamond"/>
          <w:sz w:val="24"/>
          <w:szCs w:val="24"/>
        </w:rPr>
        <w:t xml:space="preserve"> pero rival sistémico</w:t>
      </w:r>
      <w:r w:rsidR="00E41E53">
        <w:rPr>
          <w:rFonts w:ascii="Garamond" w:hAnsi="Garamond"/>
          <w:sz w:val="24"/>
          <w:szCs w:val="24"/>
        </w:rPr>
        <w:t xml:space="preserve">; </w:t>
      </w:r>
      <w:r w:rsidRPr="00E41E53">
        <w:rPr>
          <w:rFonts w:ascii="Garamond" w:hAnsi="Garamond"/>
          <w:sz w:val="24"/>
          <w:szCs w:val="24"/>
        </w:rPr>
        <w:t>La Unión Europea y los (otros) BRICS.</w:t>
      </w:r>
    </w:p>
    <w:p w14:paraId="21BCFC2D" w14:textId="77777777" w:rsidR="001F5741" w:rsidRPr="001F5741" w:rsidRDefault="001F5741" w:rsidP="001F5741">
      <w:pPr>
        <w:tabs>
          <w:tab w:val="left" w:pos="1147"/>
        </w:tabs>
        <w:spacing w:after="0" w:line="240" w:lineRule="auto"/>
        <w:jc w:val="both"/>
        <w:rPr>
          <w:rFonts w:ascii="Garamond" w:hAnsi="Garamond"/>
          <w:sz w:val="24"/>
          <w:szCs w:val="24"/>
        </w:rPr>
      </w:pPr>
    </w:p>
    <w:p w14:paraId="6A2300E5" w14:textId="77777777" w:rsidR="001F5741" w:rsidRPr="001F5741" w:rsidRDefault="001F5741" w:rsidP="001F5741">
      <w:pPr>
        <w:tabs>
          <w:tab w:val="left" w:pos="1147"/>
        </w:tabs>
        <w:spacing w:after="0" w:line="240" w:lineRule="auto"/>
        <w:jc w:val="both"/>
        <w:rPr>
          <w:rFonts w:ascii="Garamond" w:hAnsi="Garamond"/>
          <w:sz w:val="24"/>
          <w:szCs w:val="24"/>
        </w:rPr>
      </w:pPr>
      <w:r w:rsidRPr="001F5741">
        <w:rPr>
          <w:rFonts w:ascii="Garamond" w:hAnsi="Garamond"/>
          <w:sz w:val="24"/>
          <w:szCs w:val="24"/>
        </w:rPr>
        <w:t xml:space="preserve">Tema 13: </w:t>
      </w:r>
      <w:r w:rsidRPr="002E0905">
        <w:rPr>
          <w:rFonts w:ascii="Garamond" w:hAnsi="Garamond"/>
          <w:b/>
          <w:bCs/>
          <w:sz w:val="24"/>
          <w:szCs w:val="24"/>
        </w:rPr>
        <w:t>La Unión Europea ante la gobernanza global: el multilateralismo efectivo y la acción en las organizaciones internacionales.</w:t>
      </w:r>
    </w:p>
    <w:p w14:paraId="1525CE91" w14:textId="0DD6B076" w:rsidR="001F5741" w:rsidRPr="002E0905" w:rsidRDefault="001F5741" w:rsidP="00E97EB7">
      <w:pPr>
        <w:tabs>
          <w:tab w:val="left" w:pos="1147"/>
        </w:tabs>
        <w:spacing w:after="0" w:line="240" w:lineRule="auto"/>
        <w:jc w:val="both"/>
        <w:rPr>
          <w:rFonts w:ascii="Garamond" w:hAnsi="Garamond"/>
          <w:sz w:val="24"/>
          <w:szCs w:val="24"/>
        </w:rPr>
      </w:pPr>
      <w:r w:rsidRPr="00E97EB7">
        <w:rPr>
          <w:rFonts w:ascii="Garamond" w:hAnsi="Garamond"/>
          <w:sz w:val="24"/>
          <w:szCs w:val="24"/>
        </w:rPr>
        <w:t>La UE y el multilateralismo efectivo: retórica y realizaciones efectivas</w:t>
      </w:r>
      <w:r w:rsidR="00E97EB7">
        <w:rPr>
          <w:rFonts w:ascii="Garamond" w:hAnsi="Garamond"/>
          <w:sz w:val="24"/>
          <w:szCs w:val="24"/>
        </w:rPr>
        <w:t xml:space="preserve">; </w:t>
      </w:r>
      <w:r w:rsidRPr="00E97EB7">
        <w:rPr>
          <w:rFonts w:ascii="Garamond" w:hAnsi="Garamond"/>
          <w:sz w:val="24"/>
          <w:szCs w:val="24"/>
        </w:rPr>
        <w:t>La UE en la ONU: ¿la representación de una “voz única”?</w:t>
      </w:r>
      <w:r w:rsidR="00E97EB7">
        <w:rPr>
          <w:rFonts w:ascii="Garamond" w:hAnsi="Garamond"/>
          <w:sz w:val="24"/>
          <w:szCs w:val="24"/>
        </w:rPr>
        <w:t xml:space="preserve">; </w:t>
      </w:r>
      <w:r w:rsidRPr="002E0905">
        <w:rPr>
          <w:rFonts w:ascii="Garamond" w:hAnsi="Garamond"/>
          <w:sz w:val="24"/>
          <w:szCs w:val="24"/>
        </w:rPr>
        <w:t>La UE en las negociaciones sobre el clima: el Acuerdo de París de 2015 y la diplomacia climática</w:t>
      </w:r>
      <w:r w:rsidR="00E97EB7">
        <w:rPr>
          <w:rFonts w:ascii="Garamond" w:hAnsi="Garamond"/>
          <w:sz w:val="24"/>
          <w:szCs w:val="24"/>
        </w:rPr>
        <w:t xml:space="preserve">; </w:t>
      </w:r>
      <w:r w:rsidRPr="002E0905">
        <w:rPr>
          <w:rFonts w:ascii="Garamond" w:hAnsi="Garamond"/>
          <w:sz w:val="24"/>
          <w:szCs w:val="24"/>
        </w:rPr>
        <w:t>La UE en la OMC: preponderancia de la acción común</w:t>
      </w:r>
      <w:r w:rsidR="00E97EB7">
        <w:rPr>
          <w:rFonts w:ascii="Garamond" w:hAnsi="Garamond"/>
          <w:sz w:val="24"/>
          <w:szCs w:val="24"/>
        </w:rPr>
        <w:t xml:space="preserve">; </w:t>
      </w:r>
      <w:r w:rsidRPr="002E0905">
        <w:rPr>
          <w:rFonts w:ascii="Garamond" w:hAnsi="Garamond"/>
          <w:sz w:val="24"/>
          <w:szCs w:val="24"/>
        </w:rPr>
        <w:t>La UE en el G-20: buscando una gobernanza económica internacional</w:t>
      </w:r>
      <w:r w:rsidR="00E97EB7">
        <w:rPr>
          <w:rFonts w:ascii="Garamond" w:hAnsi="Garamond"/>
          <w:sz w:val="24"/>
          <w:szCs w:val="24"/>
        </w:rPr>
        <w:t xml:space="preserve">; </w:t>
      </w:r>
      <w:r w:rsidRPr="002E0905">
        <w:rPr>
          <w:rFonts w:ascii="Garamond" w:hAnsi="Garamond"/>
          <w:sz w:val="24"/>
          <w:szCs w:val="24"/>
        </w:rPr>
        <w:t>La UE y el FMI: la representación exterior del Euro</w:t>
      </w:r>
      <w:r w:rsidR="00E97EB7">
        <w:rPr>
          <w:rFonts w:ascii="Garamond" w:hAnsi="Garamond"/>
          <w:sz w:val="24"/>
          <w:szCs w:val="24"/>
        </w:rPr>
        <w:t xml:space="preserve">; </w:t>
      </w:r>
      <w:r w:rsidRPr="002E0905">
        <w:rPr>
          <w:rFonts w:ascii="Garamond" w:hAnsi="Garamond"/>
          <w:sz w:val="24"/>
          <w:szCs w:val="24"/>
        </w:rPr>
        <w:t>La UE ante el deterioro y el cuestionamiento de las instituciones multilaterales globales.</w:t>
      </w:r>
    </w:p>
    <w:p w14:paraId="667252D6" w14:textId="77777777" w:rsidR="001F5741" w:rsidRPr="001F5741" w:rsidRDefault="001F5741" w:rsidP="001F5741">
      <w:pPr>
        <w:tabs>
          <w:tab w:val="left" w:pos="1147"/>
        </w:tabs>
        <w:spacing w:after="0" w:line="240" w:lineRule="auto"/>
        <w:jc w:val="both"/>
        <w:rPr>
          <w:rFonts w:ascii="Garamond" w:hAnsi="Garamond"/>
          <w:sz w:val="24"/>
          <w:szCs w:val="24"/>
        </w:rPr>
      </w:pPr>
    </w:p>
    <w:p w14:paraId="4AE0C47E" w14:textId="77777777" w:rsidR="001F5741" w:rsidRPr="002E0905" w:rsidRDefault="001F5741" w:rsidP="001F5741">
      <w:pPr>
        <w:tabs>
          <w:tab w:val="left" w:pos="1147"/>
        </w:tabs>
        <w:spacing w:after="0" w:line="240" w:lineRule="auto"/>
        <w:jc w:val="both"/>
        <w:rPr>
          <w:rFonts w:ascii="Garamond" w:hAnsi="Garamond"/>
          <w:b/>
          <w:bCs/>
          <w:sz w:val="24"/>
          <w:szCs w:val="24"/>
        </w:rPr>
      </w:pPr>
      <w:r w:rsidRPr="001F5741">
        <w:rPr>
          <w:rFonts w:ascii="Garamond" w:hAnsi="Garamond"/>
          <w:sz w:val="24"/>
          <w:szCs w:val="24"/>
        </w:rPr>
        <w:t xml:space="preserve">Tema 14. </w:t>
      </w:r>
      <w:r w:rsidRPr="002E0905">
        <w:rPr>
          <w:rFonts w:ascii="Garamond" w:hAnsi="Garamond"/>
          <w:b/>
          <w:bCs/>
          <w:sz w:val="24"/>
          <w:szCs w:val="24"/>
        </w:rPr>
        <w:t>Límites y desafíos de la Unión Europea como actor internacional.</w:t>
      </w:r>
    </w:p>
    <w:p w14:paraId="3877F329" w14:textId="1653E30A" w:rsidR="00EF3C4F" w:rsidRPr="002E0905" w:rsidRDefault="001F5741" w:rsidP="00E97EB7">
      <w:pPr>
        <w:tabs>
          <w:tab w:val="left" w:pos="1147"/>
        </w:tabs>
        <w:spacing w:after="0" w:line="240" w:lineRule="auto"/>
        <w:jc w:val="both"/>
        <w:rPr>
          <w:rFonts w:ascii="Garamond" w:hAnsi="Garamond"/>
          <w:sz w:val="24"/>
          <w:szCs w:val="24"/>
        </w:rPr>
      </w:pPr>
      <w:r w:rsidRPr="00E97EB7">
        <w:rPr>
          <w:rFonts w:ascii="Garamond" w:hAnsi="Garamond"/>
          <w:sz w:val="24"/>
          <w:szCs w:val="24"/>
        </w:rPr>
        <w:t>Una evaluación de la acción exterior de la UE</w:t>
      </w:r>
      <w:r w:rsidR="00E97EB7">
        <w:rPr>
          <w:rFonts w:ascii="Garamond" w:hAnsi="Garamond"/>
          <w:sz w:val="24"/>
          <w:szCs w:val="24"/>
        </w:rPr>
        <w:t xml:space="preserve">; </w:t>
      </w:r>
      <w:r w:rsidRPr="00E97EB7">
        <w:rPr>
          <w:rFonts w:ascii="Garamond" w:hAnsi="Garamond"/>
          <w:sz w:val="24"/>
          <w:szCs w:val="24"/>
        </w:rPr>
        <w:t>La UE como actor económico internacional: fortalezas y debilidades</w:t>
      </w:r>
      <w:r w:rsidR="00E97EB7">
        <w:rPr>
          <w:rFonts w:ascii="Garamond" w:hAnsi="Garamond"/>
          <w:sz w:val="24"/>
          <w:szCs w:val="24"/>
        </w:rPr>
        <w:t xml:space="preserve">; </w:t>
      </w:r>
      <w:r w:rsidRPr="002E0905">
        <w:rPr>
          <w:rFonts w:ascii="Garamond" w:hAnsi="Garamond"/>
          <w:sz w:val="24"/>
          <w:szCs w:val="24"/>
        </w:rPr>
        <w:t>La UE como actor político y diplomático: la preponderancia de los (algunos) Estados miembros</w:t>
      </w:r>
      <w:r w:rsidR="00E97EB7">
        <w:rPr>
          <w:rFonts w:ascii="Garamond" w:hAnsi="Garamond"/>
          <w:sz w:val="24"/>
          <w:szCs w:val="24"/>
        </w:rPr>
        <w:t xml:space="preserve">; </w:t>
      </w:r>
      <w:r w:rsidRPr="002E0905">
        <w:rPr>
          <w:rFonts w:ascii="Garamond" w:hAnsi="Garamond"/>
          <w:sz w:val="24"/>
          <w:szCs w:val="24"/>
        </w:rPr>
        <w:t>La UE como actor militar: el objetivo de desarrollar una autonomía estratégica a través de la PCSD</w:t>
      </w:r>
      <w:r w:rsidR="00E97EB7">
        <w:rPr>
          <w:rFonts w:ascii="Garamond" w:hAnsi="Garamond"/>
          <w:sz w:val="24"/>
          <w:szCs w:val="24"/>
        </w:rPr>
        <w:t xml:space="preserve">; </w:t>
      </w:r>
      <w:r w:rsidRPr="002E0905">
        <w:rPr>
          <w:rFonts w:ascii="Garamond" w:hAnsi="Garamond"/>
          <w:sz w:val="24"/>
          <w:szCs w:val="24"/>
        </w:rPr>
        <w:t>Limitaciones de la PEC atribuibles a las instituciones comunes</w:t>
      </w:r>
      <w:r w:rsidR="00E97EB7">
        <w:rPr>
          <w:rFonts w:ascii="Garamond" w:hAnsi="Garamond"/>
          <w:sz w:val="24"/>
          <w:szCs w:val="24"/>
        </w:rPr>
        <w:t xml:space="preserve">; </w:t>
      </w:r>
      <w:r w:rsidRPr="002E0905">
        <w:rPr>
          <w:rFonts w:ascii="Garamond" w:hAnsi="Garamond"/>
          <w:sz w:val="24"/>
          <w:szCs w:val="24"/>
        </w:rPr>
        <w:t>Limitaciones de la PEC atribuibles a los Estados miembros</w:t>
      </w:r>
      <w:r w:rsidR="00E97EB7">
        <w:rPr>
          <w:rFonts w:ascii="Garamond" w:hAnsi="Garamond"/>
          <w:sz w:val="24"/>
          <w:szCs w:val="24"/>
        </w:rPr>
        <w:t xml:space="preserve">; </w:t>
      </w:r>
      <w:r w:rsidRPr="002E0905">
        <w:rPr>
          <w:rFonts w:ascii="Garamond" w:hAnsi="Garamond"/>
          <w:sz w:val="24"/>
          <w:szCs w:val="24"/>
        </w:rPr>
        <w:t>Potencialidades para el desarrollo de la PEC en el marco de los actuales Tratados</w:t>
      </w:r>
      <w:r w:rsidR="00E97EB7">
        <w:rPr>
          <w:rFonts w:ascii="Garamond" w:hAnsi="Garamond"/>
          <w:sz w:val="24"/>
          <w:szCs w:val="24"/>
        </w:rPr>
        <w:t xml:space="preserve">; </w:t>
      </w:r>
      <w:r w:rsidRPr="00E97EB7">
        <w:rPr>
          <w:rFonts w:ascii="Garamond" w:hAnsi="Garamond"/>
          <w:sz w:val="24"/>
          <w:szCs w:val="24"/>
        </w:rPr>
        <w:t>La PEC en una futura revisión de los Tratados</w:t>
      </w:r>
      <w:r w:rsidR="00E97EB7">
        <w:rPr>
          <w:rFonts w:ascii="Garamond" w:hAnsi="Garamond"/>
          <w:sz w:val="24"/>
          <w:szCs w:val="24"/>
        </w:rPr>
        <w:t xml:space="preserve">; </w:t>
      </w:r>
      <w:r w:rsidRPr="002E0905">
        <w:rPr>
          <w:rFonts w:ascii="Garamond" w:hAnsi="Garamond"/>
          <w:sz w:val="24"/>
          <w:szCs w:val="24"/>
        </w:rPr>
        <w:t>La necesidad de reforzar al actor internacional UE.</w:t>
      </w:r>
    </w:p>
    <w:p w14:paraId="2709A7E8" w14:textId="77777777" w:rsidR="00A64B42" w:rsidRDefault="00A64B42" w:rsidP="001512D1">
      <w:pPr>
        <w:tabs>
          <w:tab w:val="left" w:pos="1147"/>
        </w:tabs>
        <w:spacing w:after="0" w:line="240" w:lineRule="auto"/>
        <w:jc w:val="both"/>
        <w:rPr>
          <w:rFonts w:ascii="Garamond" w:hAnsi="Garamond"/>
          <w:sz w:val="24"/>
          <w:szCs w:val="24"/>
        </w:rPr>
      </w:pPr>
    </w:p>
    <w:p w14:paraId="68332FA9" w14:textId="6FB99781" w:rsidR="00A64B42" w:rsidRPr="00751927" w:rsidRDefault="009014C6" w:rsidP="001512D1">
      <w:pPr>
        <w:tabs>
          <w:tab w:val="left" w:pos="1147"/>
        </w:tabs>
        <w:spacing w:after="0" w:line="240" w:lineRule="auto"/>
        <w:jc w:val="both"/>
        <w:rPr>
          <w:rFonts w:ascii="Garamond" w:hAnsi="Garamond"/>
          <w:b/>
          <w:bCs/>
          <w:sz w:val="24"/>
          <w:szCs w:val="24"/>
          <w:lang w:val="en-US"/>
        </w:rPr>
      </w:pPr>
      <w:r w:rsidRPr="00751927">
        <w:rPr>
          <w:rFonts w:ascii="Garamond" w:hAnsi="Garamond"/>
          <w:b/>
          <w:bCs/>
          <w:sz w:val="24"/>
          <w:szCs w:val="24"/>
          <w:lang w:val="en-US"/>
        </w:rPr>
        <w:t xml:space="preserve">BIBLIOGRAFÍA </w:t>
      </w:r>
      <w:r w:rsidR="00BE23D4" w:rsidRPr="00751927">
        <w:rPr>
          <w:rFonts w:ascii="Garamond" w:hAnsi="Garamond"/>
          <w:b/>
          <w:bCs/>
          <w:sz w:val="24"/>
          <w:szCs w:val="24"/>
          <w:lang w:val="en-US"/>
        </w:rPr>
        <w:t>BÁSICA</w:t>
      </w:r>
    </w:p>
    <w:p w14:paraId="01D19D95" w14:textId="77777777" w:rsidR="00D06F1F" w:rsidRPr="00751927" w:rsidRDefault="00D06F1F" w:rsidP="001512D1">
      <w:pPr>
        <w:tabs>
          <w:tab w:val="left" w:pos="1147"/>
        </w:tabs>
        <w:spacing w:after="0" w:line="240" w:lineRule="auto"/>
        <w:jc w:val="both"/>
        <w:rPr>
          <w:rFonts w:ascii="Garamond" w:hAnsi="Garamond"/>
          <w:b/>
          <w:bCs/>
          <w:sz w:val="24"/>
          <w:szCs w:val="24"/>
          <w:lang w:val="en-US"/>
        </w:rPr>
      </w:pPr>
    </w:p>
    <w:p w14:paraId="6DEC0BDE"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ALCCARO, R. y BARGUÉS, P., Conflict Management and the Future of EU Foreign and Security Policy, London, Taylor and Francis, 2025.</w:t>
      </w:r>
    </w:p>
    <w:p w14:paraId="13903791"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ALDECOA, F. (Ed.), El papel internacional de la Unión Europea, Madrid, Los Libros de la Catarata, 2021.</w:t>
      </w:r>
    </w:p>
    <w:p w14:paraId="1EB074B1"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 xml:space="preserve">ALDECOA, F., La Unión Europea: de la idea utópica de Europa a la Unión Europea como potencia mundial, Madrid, </w:t>
      </w:r>
      <w:proofErr w:type="spellStart"/>
      <w:r w:rsidRPr="00A5147C">
        <w:rPr>
          <w:rFonts w:ascii="Garamond" w:hAnsi="Garamond"/>
          <w:sz w:val="24"/>
          <w:szCs w:val="24"/>
        </w:rPr>
        <w:t>Shackleton</w:t>
      </w:r>
      <w:proofErr w:type="spellEnd"/>
      <w:r w:rsidRPr="00A5147C">
        <w:rPr>
          <w:rFonts w:ascii="Garamond" w:hAnsi="Garamond"/>
          <w:sz w:val="24"/>
          <w:szCs w:val="24"/>
        </w:rPr>
        <w:t>, 2023.</w:t>
      </w:r>
    </w:p>
    <w:p w14:paraId="72797AEC"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 xml:space="preserve">ALDECOA, F., La oportunidad de </w:t>
      </w:r>
      <w:proofErr w:type="gramStart"/>
      <w:r w:rsidRPr="00A5147C">
        <w:rPr>
          <w:rFonts w:ascii="Garamond" w:hAnsi="Garamond"/>
          <w:sz w:val="24"/>
          <w:szCs w:val="24"/>
        </w:rPr>
        <w:t>Europea</w:t>
      </w:r>
      <w:proofErr w:type="gramEnd"/>
      <w:r w:rsidRPr="00A5147C">
        <w:rPr>
          <w:rFonts w:ascii="Garamond" w:hAnsi="Garamond"/>
          <w:sz w:val="24"/>
          <w:szCs w:val="24"/>
        </w:rPr>
        <w:t xml:space="preserve"> frente a Trump, Madrid, Los Libros de la Catarata, 2025.</w:t>
      </w:r>
    </w:p>
    <w:p w14:paraId="396D9AA8"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ALDECOA, F. (ed.), La respuesta de la Unión Europea a la agresión rusa a Ucrania. El despertar de la política exterior y de defensa y de la reforma de los Tratados, Madrid, Los libros de la Catarata, 2024.</w:t>
      </w:r>
    </w:p>
    <w:p w14:paraId="3CD300AA"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ALDECOA LUZÁRRAGA, F., CORNAGO PRIETO, N. Y RODRÍGUEZ PRIETO, V. (</w:t>
      </w:r>
      <w:proofErr w:type="spellStart"/>
      <w:r w:rsidRPr="00A5147C">
        <w:rPr>
          <w:rFonts w:ascii="Garamond" w:hAnsi="Garamond"/>
          <w:sz w:val="24"/>
          <w:szCs w:val="24"/>
        </w:rPr>
        <w:t>coords</w:t>
      </w:r>
      <w:proofErr w:type="spellEnd"/>
      <w:r w:rsidRPr="00A5147C">
        <w:rPr>
          <w:rFonts w:ascii="Garamond" w:hAnsi="Garamond"/>
          <w:sz w:val="24"/>
          <w:szCs w:val="24"/>
        </w:rPr>
        <w:t>.), Teoría y Práctica de la diplomacia común europea, Colección de la Escuela Diplomática, núm. 24, Ministerio de Asuntos Exteriores y de Cooperación, 2021.</w:t>
      </w:r>
    </w:p>
    <w:p w14:paraId="05CD473D"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ANDERSSON, J.J. and CRAMER, A.S., EUISS Yearbook of European Security 2023, Paris, EUISS, 2023, en: https://www.iss.europa.eu/content/yearbook-european-security-2023. </w:t>
      </w:r>
    </w:p>
    <w:p w14:paraId="2F329B98" w14:textId="77777777" w:rsid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BERINGER, S., MAIER, S. y THIEL, M. (Eds.), EU Development Policies: Between Norms and Geopolitics, Berlin, Springer, 2019.</w:t>
      </w:r>
    </w:p>
    <w:p w14:paraId="70098698" w14:textId="7A0CD958" w:rsidR="0060737D" w:rsidRPr="0089617C" w:rsidRDefault="0060737D" w:rsidP="00A5147C">
      <w:pPr>
        <w:tabs>
          <w:tab w:val="left" w:pos="1147"/>
        </w:tabs>
        <w:spacing w:after="0" w:line="240" w:lineRule="auto"/>
        <w:jc w:val="both"/>
        <w:rPr>
          <w:rFonts w:ascii="Garamond" w:hAnsi="Garamond"/>
          <w:sz w:val="24"/>
          <w:szCs w:val="24"/>
          <w:lang w:val="en-US"/>
        </w:rPr>
      </w:pPr>
      <w:r w:rsidRPr="0060737D">
        <w:rPr>
          <w:rFonts w:ascii="Garamond" w:hAnsi="Garamond"/>
          <w:sz w:val="24"/>
          <w:szCs w:val="24"/>
        </w:rPr>
        <w:t xml:space="preserve">BARBÉ, E. (Dir.) La Unión Europea en las relaciones internacionales. </w:t>
      </w:r>
      <w:r w:rsidRPr="0089617C">
        <w:rPr>
          <w:rFonts w:ascii="Garamond" w:hAnsi="Garamond"/>
          <w:sz w:val="24"/>
          <w:szCs w:val="24"/>
          <w:lang w:val="en-US"/>
        </w:rPr>
        <w:t xml:space="preserve">Madrid, </w:t>
      </w:r>
      <w:proofErr w:type="spellStart"/>
      <w:r w:rsidRPr="0089617C">
        <w:rPr>
          <w:rFonts w:ascii="Garamond" w:hAnsi="Garamond"/>
          <w:sz w:val="24"/>
          <w:szCs w:val="24"/>
          <w:lang w:val="en-US"/>
        </w:rPr>
        <w:t>Tecnos</w:t>
      </w:r>
      <w:proofErr w:type="spellEnd"/>
      <w:r w:rsidRPr="0089617C">
        <w:rPr>
          <w:rFonts w:ascii="Garamond" w:hAnsi="Garamond"/>
          <w:sz w:val="24"/>
          <w:szCs w:val="24"/>
          <w:lang w:val="en-US"/>
        </w:rPr>
        <w:t>, 2014.</w:t>
      </w:r>
    </w:p>
    <w:p w14:paraId="4387E50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BREMBERG, N., DANIELSON A., HEDLING, E. y MICHALSKI, A., The Everyday Making of EU Foreign and Security Policy: Practices, Socialization and the Management of Dissent, London, Edward Elgar Publishing, 2022.</w:t>
      </w:r>
    </w:p>
    <w:p w14:paraId="4F6AB422"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BINDI, F. (Ed.), The Foreign Policy of the European Union: Assessing Europe’s Role in the World, Washington, Brookings Institution Press, 2022.</w:t>
      </w:r>
    </w:p>
    <w:p w14:paraId="4B8D4DB9"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BISCOP, S. and WHITMAN, R. (eds), The Routledge Handbook of European Security, Abingdon, Oxon, Routledge, 2013.</w:t>
      </w:r>
    </w:p>
    <w:p w14:paraId="06EB9617"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BISCOP, S., European Strategy in the 21st Century, Abingdon, Routledge, 2018.</w:t>
      </w:r>
    </w:p>
    <w:p w14:paraId="16E9A8B4"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lastRenderedPageBreak/>
        <w:t>BLANC ALTERMIR, A. (</w:t>
      </w:r>
      <w:proofErr w:type="spellStart"/>
      <w:r w:rsidRPr="00A5147C">
        <w:rPr>
          <w:rFonts w:ascii="Garamond" w:hAnsi="Garamond"/>
          <w:sz w:val="24"/>
          <w:szCs w:val="24"/>
        </w:rPr>
        <w:t>dir.</w:t>
      </w:r>
      <w:proofErr w:type="spellEnd"/>
      <w:r w:rsidRPr="00A5147C">
        <w:rPr>
          <w:rFonts w:ascii="Garamond" w:hAnsi="Garamond"/>
          <w:sz w:val="24"/>
          <w:szCs w:val="24"/>
        </w:rPr>
        <w:t>), Las relaciones comerciales de la Unión Europea con el resto del mundo. Un análisis desde la postpandemia y la agresión rusa a Ucrania, Navarra, Aranzadi, 2023.</w:t>
      </w:r>
    </w:p>
    <w:p w14:paraId="1CF9CBA6"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BORRELL, J., Europe between two wars. EU foreign policy in 2023, Luxembourg, Publications Office of the EU, 2024.</w:t>
      </w:r>
    </w:p>
    <w:p w14:paraId="36065302"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BRADFORD, A., The Brussels Effect: How the European Union Rules the World, Oxford, OUP. 2019.</w:t>
      </w:r>
    </w:p>
    <w:p w14:paraId="2BAB33F1"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 xml:space="preserve">BRADFORD, A., Imperios digitales. La batalla global por la tecnología que marcará la geopolítica del futuro, Barcelona, </w:t>
      </w:r>
      <w:proofErr w:type="spellStart"/>
      <w:r w:rsidRPr="00A5147C">
        <w:rPr>
          <w:rFonts w:ascii="Garamond" w:hAnsi="Garamond"/>
          <w:sz w:val="24"/>
          <w:szCs w:val="24"/>
        </w:rPr>
        <w:t>Shackleton</w:t>
      </w:r>
      <w:proofErr w:type="spellEnd"/>
      <w:r w:rsidRPr="00A5147C">
        <w:rPr>
          <w:rFonts w:ascii="Garamond" w:hAnsi="Garamond"/>
          <w:sz w:val="24"/>
          <w:szCs w:val="24"/>
        </w:rPr>
        <w:t>, 2024.</w:t>
      </w:r>
    </w:p>
    <w:p w14:paraId="61F47193"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BRETHERTON, Ch. y VOGLER, J., The European Union as a global actor, London, Routledge, 2006 (2ª </w:t>
      </w:r>
      <w:proofErr w:type="spellStart"/>
      <w:r w:rsidRPr="00A5147C">
        <w:rPr>
          <w:rFonts w:ascii="Garamond" w:hAnsi="Garamond"/>
          <w:sz w:val="24"/>
          <w:szCs w:val="24"/>
          <w:lang w:val="en-US"/>
        </w:rPr>
        <w:t>edición</w:t>
      </w:r>
      <w:proofErr w:type="spellEnd"/>
      <w:r w:rsidRPr="00A5147C">
        <w:rPr>
          <w:rFonts w:ascii="Garamond" w:hAnsi="Garamond"/>
          <w:sz w:val="24"/>
          <w:szCs w:val="24"/>
          <w:lang w:val="en-US"/>
        </w:rPr>
        <w:t>).</w:t>
      </w:r>
    </w:p>
    <w:p w14:paraId="79B60A1D" w14:textId="77777777" w:rsid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BUTLER, G., Constitutional Law of the EU’s Common Foreign and Security Policy: Competence and Institutions in External Relations, London, Hart, 2021.</w:t>
      </w:r>
    </w:p>
    <w:p w14:paraId="0A6EAD52" w14:textId="2F07391C" w:rsidR="00F95D62" w:rsidRPr="00A5147C" w:rsidRDefault="00F95D62" w:rsidP="00A5147C">
      <w:pPr>
        <w:tabs>
          <w:tab w:val="left" w:pos="1147"/>
        </w:tabs>
        <w:spacing w:after="0" w:line="240" w:lineRule="auto"/>
        <w:jc w:val="both"/>
        <w:rPr>
          <w:rFonts w:ascii="Garamond" w:hAnsi="Garamond"/>
          <w:sz w:val="24"/>
          <w:szCs w:val="24"/>
          <w:lang w:val="en-US"/>
        </w:rPr>
      </w:pPr>
      <w:r w:rsidRPr="00F95D62">
        <w:rPr>
          <w:rFonts w:ascii="Garamond" w:hAnsi="Garamond"/>
          <w:sz w:val="24"/>
          <w:szCs w:val="24"/>
        </w:rPr>
        <w:t>CA</w:t>
      </w:r>
      <w:r>
        <w:rPr>
          <w:rFonts w:ascii="Garamond" w:hAnsi="Garamond"/>
          <w:sz w:val="24"/>
          <w:szCs w:val="24"/>
        </w:rPr>
        <w:t>STILLO</w:t>
      </w:r>
      <w:r w:rsidRPr="00F95D62">
        <w:rPr>
          <w:rFonts w:ascii="Garamond" w:hAnsi="Garamond"/>
          <w:sz w:val="24"/>
          <w:szCs w:val="24"/>
        </w:rPr>
        <w:t>, A</w:t>
      </w:r>
      <w:r w:rsidR="000D7600">
        <w:rPr>
          <w:rFonts w:ascii="Garamond" w:hAnsi="Garamond"/>
          <w:sz w:val="24"/>
          <w:szCs w:val="24"/>
        </w:rPr>
        <w:t>.,</w:t>
      </w:r>
      <w:r w:rsidRPr="00F95D62">
        <w:rPr>
          <w:rFonts w:ascii="Garamond" w:hAnsi="Garamond"/>
          <w:sz w:val="24"/>
          <w:szCs w:val="24"/>
        </w:rPr>
        <w:t xml:space="preserve"> Perspectivas y dimensiones de una gobernanza global: el futuro de la Unión Europea como actor internacional</w:t>
      </w:r>
      <w:r w:rsidR="000D7600">
        <w:rPr>
          <w:rFonts w:ascii="Garamond" w:hAnsi="Garamond"/>
          <w:sz w:val="24"/>
          <w:szCs w:val="24"/>
        </w:rPr>
        <w:t>,</w:t>
      </w:r>
      <w:r w:rsidRPr="00F95D62">
        <w:rPr>
          <w:rFonts w:ascii="Garamond" w:hAnsi="Garamond"/>
          <w:sz w:val="24"/>
          <w:szCs w:val="24"/>
        </w:rPr>
        <w:t xml:space="preserve"> Revista Oasis. Nro. 18.  Facultad de Finanzas, Gobierno y Relaciones Internacionales. Universidad Externado de Colombia. </w:t>
      </w:r>
      <w:r w:rsidR="000D7600">
        <w:rPr>
          <w:rFonts w:ascii="Garamond" w:hAnsi="Garamond"/>
          <w:sz w:val="24"/>
          <w:szCs w:val="24"/>
          <w:lang w:val="en-US"/>
        </w:rPr>
        <w:t>2013.</w:t>
      </w:r>
    </w:p>
    <w:p w14:paraId="57AEE216"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CAMERON, F., An Introduction to European Foreign Policy, London, Routledge, 2012.</w:t>
      </w:r>
    </w:p>
    <w:p w14:paraId="6B244107"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CARDWELL, P.J. (Ed.), EU External Relations Law and Policy in the Post-Lisbon Era, The Hague, TMC Asser Press-Springer, 2012.</w:t>
      </w:r>
    </w:p>
    <w:p w14:paraId="68DF9DF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CONDE, E., YANEVA, Z.V. y SCOPELLITI, M. (Eds.), The Routledge Handbook of European Security Law and Policy, Abingdon, Routledge, 2020.</w:t>
      </w:r>
    </w:p>
    <w:p w14:paraId="65BC8A83"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COSTA, O., SOLER </w:t>
      </w:r>
      <w:proofErr w:type="spellStart"/>
      <w:r w:rsidRPr="00A5147C">
        <w:rPr>
          <w:rFonts w:ascii="Garamond" w:hAnsi="Garamond"/>
          <w:sz w:val="24"/>
          <w:szCs w:val="24"/>
          <w:lang w:val="en-US"/>
        </w:rPr>
        <w:t>i</w:t>
      </w:r>
      <w:proofErr w:type="spellEnd"/>
      <w:r w:rsidRPr="00A5147C">
        <w:rPr>
          <w:rFonts w:ascii="Garamond" w:hAnsi="Garamond"/>
          <w:sz w:val="24"/>
          <w:szCs w:val="24"/>
          <w:lang w:val="en-US"/>
        </w:rPr>
        <w:t xml:space="preserve"> LECHA, E. y VLASKAMP, M. (Eds.), EU Foreign Policy in a Fragmenting International Order, Basingstoke, Palgrave-Macmillan, 2024.</w:t>
      </w:r>
    </w:p>
    <w:p w14:paraId="0D1AA5C0"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COTTEY, A., Security in 21st Century Europe, London, Bloomsbury, 2025.</w:t>
      </w:r>
    </w:p>
    <w:p w14:paraId="52556847"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CREMONA, M. y DE WITTE, B. (Eds.), EU Foreign Relations Law. Constitutional Fundamentals, London, Hart Publishing, 2008.</w:t>
      </w:r>
    </w:p>
    <w:p w14:paraId="318E481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rPr>
        <w:t xml:space="preserve">DESCHAUX-DUTARD, D. y TERPAN, F. (Eds.), </w:t>
      </w:r>
      <w:proofErr w:type="gramStart"/>
      <w:r w:rsidRPr="00A5147C">
        <w:rPr>
          <w:rFonts w:ascii="Garamond" w:hAnsi="Garamond"/>
          <w:sz w:val="24"/>
          <w:szCs w:val="24"/>
        </w:rPr>
        <w:t xml:space="preserve">La </w:t>
      </w:r>
      <w:proofErr w:type="spellStart"/>
      <w:r w:rsidRPr="00A5147C">
        <w:rPr>
          <w:rFonts w:ascii="Garamond" w:hAnsi="Garamond"/>
          <w:sz w:val="24"/>
          <w:szCs w:val="24"/>
        </w:rPr>
        <w:t>guerre</w:t>
      </w:r>
      <w:proofErr w:type="spellEnd"/>
      <w:r w:rsidRPr="00A5147C">
        <w:rPr>
          <w:rFonts w:ascii="Garamond" w:hAnsi="Garamond"/>
          <w:sz w:val="24"/>
          <w:szCs w:val="24"/>
        </w:rPr>
        <w:t xml:space="preserve"> en </w:t>
      </w:r>
      <w:proofErr w:type="spellStart"/>
      <w:r w:rsidRPr="00A5147C">
        <w:rPr>
          <w:rFonts w:ascii="Garamond" w:hAnsi="Garamond"/>
          <w:sz w:val="24"/>
          <w:szCs w:val="24"/>
        </w:rPr>
        <w:t>Ukraine</w:t>
      </w:r>
      <w:proofErr w:type="spellEnd"/>
      <w:r w:rsidRPr="00A5147C">
        <w:rPr>
          <w:rFonts w:ascii="Garamond" w:hAnsi="Garamond"/>
          <w:sz w:val="24"/>
          <w:szCs w:val="24"/>
        </w:rPr>
        <w:t xml:space="preserve">, </w:t>
      </w:r>
      <w:proofErr w:type="spellStart"/>
      <w:r w:rsidRPr="00A5147C">
        <w:rPr>
          <w:rFonts w:ascii="Garamond" w:hAnsi="Garamond"/>
          <w:sz w:val="24"/>
          <w:szCs w:val="24"/>
        </w:rPr>
        <w:t>facteur</w:t>
      </w:r>
      <w:proofErr w:type="spellEnd"/>
      <w:r w:rsidRPr="00A5147C">
        <w:rPr>
          <w:rFonts w:ascii="Garamond" w:hAnsi="Garamond"/>
          <w:sz w:val="24"/>
          <w:szCs w:val="24"/>
        </w:rPr>
        <w:t xml:space="preserve"> </w:t>
      </w:r>
      <w:proofErr w:type="spellStart"/>
      <w:r w:rsidRPr="00A5147C">
        <w:rPr>
          <w:rFonts w:ascii="Garamond" w:hAnsi="Garamond"/>
          <w:sz w:val="24"/>
          <w:szCs w:val="24"/>
        </w:rPr>
        <w:t>d'intégration</w:t>
      </w:r>
      <w:proofErr w:type="spellEnd"/>
      <w:r w:rsidRPr="00A5147C">
        <w:rPr>
          <w:rFonts w:ascii="Garamond" w:hAnsi="Garamond"/>
          <w:sz w:val="24"/>
          <w:szCs w:val="24"/>
        </w:rPr>
        <w:t xml:space="preserve"> </w:t>
      </w:r>
      <w:proofErr w:type="spellStart"/>
      <w:r w:rsidRPr="00A5147C">
        <w:rPr>
          <w:rFonts w:ascii="Garamond" w:hAnsi="Garamond"/>
          <w:sz w:val="24"/>
          <w:szCs w:val="24"/>
        </w:rPr>
        <w:t>ou</w:t>
      </w:r>
      <w:proofErr w:type="spellEnd"/>
      <w:r w:rsidRPr="00A5147C">
        <w:rPr>
          <w:rFonts w:ascii="Garamond" w:hAnsi="Garamond"/>
          <w:sz w:val="24"/>
          <w:szCs w:val="24"/>
        </w:rPr>
        <w:t xml:space="preserve"> de </w:t>
      </w:r>
      <w:proofErr w:type="spellStart"/>
      <w:r w:rsidRPr="00A5147C">
        <w:rPr>
          <w:rFonts w:ascii="Garamond" w:hAnsi="Garamond"/>
          <w:sz w:val="24"/>
          <w:szCs w:val="24"/>
        </w:rPr>
        <w:t>désintégration</w:t>
      </w:r>
      <w:proofErr w:type="spellEnd"/>
      <w:r w:rsidRPr="00A5147C">
        <w:rPr>
          <w:rFonts w:ascii="Garamond" w:hAnsi="Garamond"/>
          <w:sz w:val="24"/>
          <w:szCs w:val="24"/>
        </w:rPr>
        <w:t xml:space="preserve"> </w:t>
      </w:r>
      <w:proofErr w:type="spellStart"/>
      <w:r w:rsidRPr="00A5147C">
        <w:rPr>
          <w:rFonts w:ascii="Garamond" w:hAnsi="Garamond"/>
          <w:sz w:val="24"/>
          <w:szCs w:val="24"/>
        </w:rPr>
        <w:t>européenne</w:t>
      </w:r>
      <w:proofErr w:type="spellEnd"/>
      <w:r w:rsidRPr="00A5147C">
        <w:rPr>
          <w:rFonts w:ascii="Garamond" w:hAnsi="Garamond"/>
          <w:sz w:val="24"/>
          <w:szCs w:val="24"/>
        </w:rPr>
        <w:t xml:space="preserve"> et </w:t>
      </w:r>
      <w:proofErr w:type="spellStart"/>
      <w:r w:rsidRPr="00A5147C">
        <w:rPr>
          <w:rFonts w:ascii="Garamond" w:hAnsi="Garamond"/>
          <w:sz w:val="24"/>
          <w:szCs w:val="24"/>
        </w:rPr>
        <w:t>internationale</w:t>
      </w:r>
      <w:proofErr w:type="spellEnd"/>
      <w:r w:rsidRPr="00A5147C">
        <w:rPr>
          <w:rFonts w:ascii="Garamond" w:hAnsi="Garamond"/>
          <w:sz w:val="24"/>
          <w:szCs w:val="24"/>
        </w:rPr>
        <w:t>?</w:t>
      </w:r>
      <w:proofErr w:type="gramEnd"/>
      <w:r w:rsidRPr="00A5147C">
        <w:rPr>
          <w:rFonts w:ascii="Garamond" w:hAnsi="Garamond"/>
          <w:sz w:val="24"/>
          <w:szCs w:val="24"/>
        </w:rPr>
        <w:t xml:space="preserve"> </w:t>
      </w:r>
      <w:r w:rsidRPr="00A5147C">
        <w:rPr>
          <w:rFonts w:ascii="Garamond" w:hAnsi="Garamond"/>
          <w:sz w:val="24"/>
          <w:szCs w:val="24"/>
          <w:lang w:val="en-US"/>
        </w:rPr>
        <w:t xml:space="preserve">Regards </w:t>
      </w:r>
      <w:proofErr w:type="spellStart"/>
      <w:r w:rsidRPr="00A5147C">
        <w:rPr>
          <w:rFonts w:ascii="Garamond" w:hAnsi="Garamond"/>
          <w:sz w:val="24"/>
          <w:szCs w:val="24"/>
          <w:lang w:val="en-US"/>
        </w:rPr>
        <w:t>croissés</w:t>
      </w:r>
      <w:proofErr w:type="spellEnd"/>
      <w:r w:rsidRPr="00A5147C">
        <w:rPr>
          <w:rFonts w:ascii="Garamond" w:hAnsi="Garamond"/>
          <w:sz w:val="24"/>
          <w:szCs w:val="24"/>
          <w:lang w:val="en-US"/>
        </w:rPr>
        <w:t xml:space="preserve"> </w:t>
      </w:r>
      <w:proofErr w:type="spellStart"/>
      <w:r w:rsidRPr="00A5147C">
        <w:rPr>
          <w:rFonts w:ascii="Garamond" w:hAnsi="Garamond"/>
          <w:sz w:val="24"/>
          <w:szCs w:val="24"/>
          <w:lang w:val="en-US"/>
        </w:rPr>
        <w:t>pluridisciplinaire</w:t>
      </w:r>
      <w:proofErr w:type="spellEnd"/>
      <w:r w:rsidRPr="00A5147C">
        <w:rPr>
          <w:rFonts w:ascii="Garamond" w:hAnsi="Garamond"/>
          <w:sz w:val="24"/>
          <w:szCs w:val="24"/>
          <w:lang w:val="en-US"/>
        </w:rPr>
        <w:t>, Paris, Mare et Martin, 2025.</w:t>
      </w:r>
    </w:p>
    <w:p w14:paraId="3A710542"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DIEZ, T. The EU and Global Climate Justice: Normative Power Caught in Normative Battles, London, Routledge, 2021.</w:t>
      </w:r>
    </w:p>
    <w:p w14:paraId="1CE37977"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EECKHOUT, D. y LÓPEZ ESCUDERO, M. (Ed.), European Union’s External Action in Times of Crisis, London, Hart, 2019.</w:t>
      </w:r>
    </w:p>
    <w:p w14:paraId="5DB77E74"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FABBRINI, F., The EU Constitution in time of war. Legal responses to Russia's aggression against Ukraine, Oxford, Oxford University Press, 2025.</w:t>
      </w:r>
    </w:p>
    <w:p w14:paraId="637B1921"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FABBRINI, S., A Federalist Alternative for European Governance. The European Union in Hard Times, Cambridge, Cambridge University Press, 2025.</w:t>
      </w:r>
    </w:p>
    <w:p w14:paraId="048003E6"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 xml:space="preserve">FAJARDO, T. La diplomacia del clima de la Unión Europea, La acción exterior sobre cambio climático y el pacto verde mundial, Reus, Madrid 2021. </w:t>
      </w:r>
    </w:p>
    <w:p w14:paraId="3E223A2A"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GINSBERG, R.H. y PENKSA, S. E., The European Union in Global Security. The Politics of Impact, Basingstoke, Palgrave-Macmillan, 2012.</w:t>
      </w:r>
    </w:p>
    <w:p w14:paraId="421E2C28"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GROS-VERHEYDE, N., La </w:t>
      </w:r>
      <w:proofErr w:type="spellStart"/>
      <w:r w:rsidRPr="00A5147C">
        <w:rPr>
          <w:rFonts w:ascii="Garamond" w:hAnsi="Garamond"/>
          <w:sz w:val="24"/>
          <w:szCs w:val="24"/>
          <w:lang w:val="en-US"/>
        </w:rPr>
        <w:t>défense</w:t>
      </w:r>
      <w:proofErr w:type="spellEnd"/>
      <w:r w:rsidRPr="00A5147C">
        <w:rPr>
          <w:rFonts w:ascii="Garamond" w:hAnsi="Garamond"/>
          <w:sz w:val="24"/>
          <w:szCs w:val="24"/>
          <w:lang w:val="en-US"/>
        </w:rPr>
        <w:t xml:space="preserve"> </w:t>
      </w:r>
      <w:proofErr w:type="spellStart"/>
      <w:r w:rsidRPr="00A5147C">
        <w:rPr>
          <w:rFonts w:ascii="Garamond" w:hAnsi="Garamond"/>
          <w:sz w:val="24"/>
          <w:szCs w:val="24"/>
          <w:lang w:val="en-US"/>
        </w:rPr>
        <w:t>européenne</w:t>
      </w:r>
      <w:proofErr w:type="spellEnd"/>
      <w:r w:rsidRPr="00A5147C">
        <w:rPr>
          <w:rFonts w:ascii="Garamond" w:hAnsi="Garamond"/>
          <w:sz w:val="24"/>
          <w:szCs w:val="24"/>
          <w:lang w:val="en-US"/>
        </w:rPr>
        <w:t xml:space="preserve"> à </w:t>
      </w:r>
      <w:proofErr w:type="spellStart"/>
      <w:r w:rsidRPr="00A5147C">
        <w:rPr>
          <w:rFonts w:ascii="Garamond" w:hAnsi="Garamond"/>
          <w:sz w:val="24"/>
          <w:szCs w:val="24"/>
          <w:lang w:val="en-US"/>
        </w:rPr>
        <w:t>l’heure</w:t>
      </w:r>
      <w:proofErr w:type="spellEnd"/>
      <w:r w:rsidRPr="00A5147C">
        <w:rPr>
          <w:rFonts w:ascii="Garamond" w:hAnsi="Garamond"/>
          <w:sz w:val="24"/>
          <w:szCs w:val="24"/>
          <w:lang w:val="en-US"/>
        </w:rPr>
        <w:t xml:space="preserve"> de la guerre en Ukraine. Des </w:t>
      </w:r>
      <w:proofErr w:type="spellStart"/>
      <w:r w:rsidRPr="00A5147C">
        <w:rPr>
          <w:rFonts w:ascii="Garamond" w:hAnsi="Garamond"/>
          <w:sz w:val="24"/>
          <w:szCs w:val="24"/>
          <w:lang w:val="en-US"/>
        </w:rPr>
        <w:t>tabous</w:t>
      </w:r>
      <w:proofErr w:type="spellEnd"/>
      <w:r w:rsidRPr="00A5147C">
        <w:rPr>
          <w:rFonts w:ascii="Garamond" w:hAnsi="Garamond"/>
          <w:sz w:val="24"/>
          <w:szCs w:val="24"/>
          <w:lang w:val="en-US"/>
        </w:rPr>
        <w:t xml:space="preserve"> </w:t>
      </w:r>
      <w:proofErr w:type="spellStart"/>
      <w:r w:rsidRPr="00A5147C">
        <w:rPr>
          <w:rFonts w:ascii="Garamond" w:hAnsi="Garamond"/>
          <w:sz w:val="24"/>
          <w:szCs w:val="24"/>
          <w:lang w:val="en-US"/>
        </w:rPr>
        <w:t>tombent</w:t>
      </w:r>
      <w:proofErr w:type="spellEnd"/>
      <w:r w:rsidRPr="00A5147C">
        <w:rPr>
          <w:rFonts w:ascii="Garamond" w:hAnsi="Garamond"/>
          <w:sz w:val="24"/>
          <w:szCs w:val="24"/>
          <w:lang w:val="en-US"/>
        </w:rPr>
        <w:t xml:space="preserve">, </w:t>
      </w:r>
      <w:proofErr w:type="spellStart"/>
      <w:r w:rsidRPr="00A5147C">
        <w:rPr>
          <w:rFonts w:ascii="Garamond" w:hAnsi="Garamond"/>
          <w:sz w:val="24"/>
          <w:szCs w:val="24"/>
          <w:lang w:val="en-US"/>
        </w:rPr>
        <w:t>Bruxelles</w:t>
      </w:r>
      <w:proofErr w:type="spellEnd"/>
      <w:r w:rsidRPr="00A5147C">
        <w:rPr>
          <w:rFonts w:ascii="Garamond" w:hAnsi="Garamond"/>
          <w:sz w:val="24"/>
          <w:szCs w:val="24"/>
          <w:lang w:val="en-US"/>
        </w:rPr>
        <w:t>, Editions du Villard, 2024.</w:t>
      </w:r>
    </w:p>
    <w:p w14:paraId="1A90DEA3"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GSTÖHL, S. y SCHUNZ, S. (Eds.), The External Action of the European Union, London, Red Globe Press, 2021.</w:t>
      </w:r>
    </w:p>
    <w:p w14:paraId="42B9E077" w14:textId="77777777" w:rsidR="00A5147C" w:rsidRPr="00A5147C" w:rsidRDefault="00A5147C" w:rsidP="00A5147C">
      <w:pPr>
        <w:tabs>
          <w:tab w:val="left" w:pos="1147"/>
        </w:tabs>
        <w:spacing w:after="0" w:line="240" w:lineRule="auto"/>
        <w:jc w:val="both"/>
        <w:rPr>
          <w:rFonts w:ascii="Garamond" w:hAnsi="Garamond"/>
          <w:sz w:val="24"/>
          <w:szCs w:val="24"/>
        </w:rPr>
      </w:pPr>
      <w:r w:rsidRPr="00A5147C">
        <w:rPr>
          <w:rFonts w:ascii="Garamond" w:hAnsi="Garamond"/>
          <w:sz w:val="24"/>
          <w:szCs w:val="24"/>
        </w:rPr>
        <w:t>GUTIÉRREZ ESPADA, C. y CERVELL HORTAL, M.J. (</w:t>
      </w:r>
      <w:proofErr w:type="spellStart"/>
      <w:r w:rsidRPr="00A5147C">
        <w:rPr>
          <w:rFonts w:ascii="Garamond" w:hAnsi="Garamond"/>
          <w:sz w:val="24"/>
          <w:szCs w:val="24"/>
        </w:rPr>
        <w:t>Dirs</w:t>
      </w:r>
      <w:proofErr w:type="spellEnd"/>
      <w:r w:rsidRPr="00A5147C">
        <w:rPr>
          <w:rFonts w:ascii="Garamond" w:hAnsi="Garamond"/>
          <w:sz w:val="24"/>
          <w:szCs w:val="24"/>
        </w:rPr>
        <w:t>.), La Unión Europea como actor global de las relaciones internacionales: retos y problemas seleccionados, Valencia, Tirant lo Blanch, 2016.</w:t>
      </w:r>
    </w:p>
    <w:p w14:paraId="6FE5197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HILL, Ch., SMITH, M. Y VANHOONACKER, S., (Eds.), International Relations and the European Union, Oxford, Oxford University Press, 2017.</w:t>
      </w:r>
    </w:p>
    <w:p w14:paraId="430F853C"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lastRenderedPageBreak/>
        <w:t>HOERBER, T., BOHAS, A. y VALDEMARIN, S. (Eds.), The EU in a Globalized World, Abingdon, Routledge, 2024.</w:t>
      </w:r>
    </w:p>
    <w:p w14:paraId="45772AE2"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HOFFMEISTER, F. y HAVAS, L. (Eds.), The High Representative of the Union for Foreign Affairs and Security Policy as a Legal Actor, The Hague, Brill, 2025. </w:t>
      </w:r>
    </w:p>
    <w:p w14:paraId="07B50303"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HOSLI, M., The European Union and United Nations in Global Governance, Bristol, Bristol University Press, 2022.</w:t>
      </w:r>
    </w:p>
    <w:p w14:paraId="46413493"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HOWORTH, J., Security and </w:t>
      </w:r>
      <w:proofErr w:type="spellStart"/>
      <w:r w:rsidRPr="00A5147C">
        <w:rPr>
          <w:rFonts w:ascii="Garamond" w:hAnsi="Garamond"/>
          <w:sz w:val="24"/>
          <w:szCs w:val="24"/>
          <w:lang w:val="en-US"/>
        </w:rPr>
        <w:t>Defence</w:t>
      </w:r>
      <w:proofErr w:type="spellEnd"/>
      <w:r w:rsidRPr="00A5147C">
        <w:rPr>
          <w:rFonts w:ascii="Garamond" w:hAnsi="Garamond"/>
          <w:sz w:val="24"/>
          <w:szCs w:val="24"/>
          <w:lang w:val="en-US"/>
        </w:rPr>
        <w:t xml:space="preserve"> Policy in the European Union, Basingstoke, Palgrave-Macmillan, 2014.</w:t>
      </w:r>
    </w:p>
    <w:p w14:paraId="4E8AC4DE"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JOHANSSON-NOGUÉS, E., VLASKAMP, M. y BARBÉ, E. (Eds.), European Union Contested: Foreign Policy in a New Global Context, Berlin, Springer, 2020.</w:t>
      </w:r>
    </w:p>
    <w:p w14:paraId="3CAF4DD8"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JORGENSEN, K.E. et alia, The SAGE Handbook of European Foreign Policy, London, Sage, 2015.</w:t>
      </w:r>
    </w:p>
    <w:p w14:paraId="2C4A1F1A"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JORGENSEN, K.E., KNUDSEN, T.B. y LANDORFF, L. (Eds.), Europe's World. Policy Paradigms, Strategic Thinking and the Anti-Liberal Challenge, Bristol, Bristol University Press, 2025.</w:t>
      </w:r>
    </w:p>
    <w:p w14:paraId="3297F4CC"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KEUKELEIRE, S. y DELREUX, T., The Foreign Policy of the European Union, Basingstoke, Palgrave-Macmillan, 2022.</w:t>
      </w:r>
    </w:p>
    <w:p w14:paraId="0A971379"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KMEC, V., EU Missions and Peacebuilding. Building Peace through the Common Security and </w:t>
      </w:r>
      <w:proofErr w:type="spellStart"/>
      <w:r w:rsidRPr="00A5147C">
        <w:rPr>
          <w:rFonts w:ascii="Garamond" w:hAnsi="Garamond"/>
          <w:sz w:val="24"/>
          <w:szCs w:val="24"/>
          <w:lang w:val="en-US"/>
        </w:rPr>
        <w:t>Defence</w:t>
      </w:r>
      <w:proofErr w:type="spellEnd"/>
      <w:r w:rsidRPr="00A5147C">
        <w:rPr>
          <w:rFonts w:ascii="Garamond" w:hAnsi="Garamond"/>
          <w:sz w:val="24"/>
          <w:szCs w:val="24"/>
          <w:lang w:val="en-US"/>
        </w:rPr>
        <w:t xml:space="preserve"> Policy, Abingdon, Routledge, 2023.</w:t>
      </w:r>
    </w:p>
    <w:p w14:paraId="60D2C8DF"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LEAL-ARCAS, R., EU Trade Law, London, Edward Elgar, 2024.</w:t>
      </w:r>
    </w:p>
    <w:p w14:paraId="1170EA88"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LEUFFEN, D., RITTBERGER, B. and SCHIMMELFENNING, F., Integration and Differentiation in the European Union: Theory and Policies, London, Palgrave, 2022.</w:t>
      </w:r>
    </w:p>
    <w:p w14:paraId="33E21CE1"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MARSH, S. y MACKENSTEIN, H., The International Relations of the European Union, Harlow, Pearson, 2005.</w:t>
      </w:r>
    </w:p>
    <w:p w14:paraId="047AA36E"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MAURER, H., WHITMAN, R. G., AND WRIGHT, N., “EU and the invasion of </w:t>
      </w:r>
      <w:proofErr w:type="spellStart"/>
      <w:r w:rsidRPr="00A5147C">
        <w:rPr>
          <w:rFonts w:ascii="Garamond" w:hAnsi="Garamond"/>
          <w:sz w:val="24"/>
          <w:szCs w:val="24"/>
          <w:lang w:val="en-US"/>
        </w:rPr>
        <w:t>Ukrania</w:t>
      </w:r>
      <w:proofErr w:type="spellEnd"/>
      <w:r w:rsidRPr="00A5147C">
        <w:rPr>
          <w:rFonts w:ascii="Garamond" w:hAnsi="Garamond"/>
          <w:sz w:val="24"/>
          <w:szCs w:val="24"/>
          <w:lang w:val="en-US"/>
        </w:rPr>
        <w:t xml:space="preserve">: a collective responsibility to </w:t>
      </w:r>
      <w:proofErr w:type="gramStart"/>
      <w:r w:rsidRPr="00A5147C">
        <w:rPr>
          <w:rFonts w:ascii="Garamond" w:hAnsi="Garamond"/>
          <w:sz w:val="24"/>
          <w:szCs w:val="24"/>
          <w:lang w:val="en-US"/>
        </w:rPr>
        <w:t>act?,</w:t>
      </w:r>
      <w:proofErr w:type="gramEnd"/>
      <w:r w:rsidRPr="00A5147C">
        <w:rPr>
          <w:rFonts w:ascii="Garamond" w:hAnsi="Garamond"/>
          <w:sz w:val="24"/>
          <w:szCs w:val="24"/>
          <w:lang w:val="en-US"/>
        </w:rPr>
        <w:t xml:space="preserve"> International Affairs, vol.99, </w:t>
      </w:r>
      <w:proofErr w:type="spellStart"/>
      <w:r w:rsidRPr="00A5147C">
        <w:rPr>
          <w:rFonts w:ascii="Garamond" w:hAnsi="Garamond"/>
          <w:sz w:val="24"/>
          <w:szCs w:val="24"/>
          <w:lang w:val="en-US"/>
        </w:rPr>
        <w:t>núm</w:t>
      </w:r>
      <w:proofErr w:type="spellEnd"/>
      <w:r w:rsidRPr="00A5147C">
        <w:rPr>
          <w:rFonts w:ascii="Garamond" w:hAnsi="Garamond"/>
          <w:sz w:val="24"/>
          <w:szCs w:val="24"/>
          <w:lang w:val="en-US"/>
        </w:rPr>
        <w:t>. 1, 2023, pp. 219-238.</w:t>
      </w:r>
    </w:p>
    <w:p w14:paraId="6FDC7592"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MCCORMICK, J., The European Superpower, Basingstoke, Palgrave-McMillan, 2007.</w:t>
      </w:r>
    </w:p>
    <w:p w14:paraId="77974E3C"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MORILLAS, P., Strategy-Making in the EU: From Foreign and Security Policy to External Action, Basingstoke, Palgrave-Macmillan, 2018.</w:t>
      </w:r>
    </w:p>
    <w:p w14:paraId="02A138B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MUZERGUES, T., War in Europe? From Impossible War to Improbable Peace, Abingdon, Routledge, 2022.</w:t>
      </w:r>
    </w:p>
    <w:p w14:paraId="7E0A04D1"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NEMETH, B., How to achieve </w:t>
      </w:r>
      <w:proofErr w:type="spellStart"/>
      <w:r w:rsidRPr="00A5147C">
        <w:rPr>
          <w:rFonts w:ascii="Garamond" w:hAnsi="Garamond"/>
          <w:sz w:val="24"/>
          <w:szCs w:val="24"/>
          <w:lang w:val="en-US"/>
        </w:rPr>
        <w:t>defence</w:t>
      </w:r>
      <w:proofErr w:type="spellEnd"/>
      <w:r w:rsidRPr="00A5147C">
        <w:rPr>
          <w:rFonts w:ascii="Garamond" w:hAnsi="Garamond"/>
          <w:sz w:val="24"/>
          <w:szCs w:val="24"/>
          <w:lang w:val="en-US"/>
        </w:rPr>
        <w:t xml:space="preserve"> cooperation in Europe? The subregional approach. Bristol: Bristol University Press, 2022.</w:t>
      </w:r>
    </w:p>
    <w:p w14:paraId="6167D08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RICHMOND. </w:t>
      </w:r>
      <w:proofErr w:type="gramStart"/>
      <w:r w:rsidRPr="00A5147C">
        <w:rPr>
          <w:rFonts w:ascii="Garamond" w:hAnsi="Garamond"/>
          <w:sz w:val="24"/>
          <w:szCs w:val="24"/>
          <w:lang w:val="en-US"/>
        </w:rPr>
        <w:t>O.P..</w:t>
      </w:r>
      <w:proofErr w:type="gramEnd"/>
      <w:r w:rsidRPr="00A5147C">
        <w:rPr>
          <w:rFonts w:ascii="Garamond" w:hAnsi="Garamond"/>
          <w:sz w:val="24"/>
          <w:szCs w:val="24"/>
          <w:lang w:val="en-US"/>
        </w:rPr>
        <w:t xml:space="preserve"> and VISOKA, G., The Oxford Handbook of Peacebuilding, </w:t>
      </w:r>
      <w:proofErr w:type="spellStart"/>
      <w:r w:rsidRPr="00A5147C">
        <w:rPr>
          <w:rFonts w:ascii="Garamond" w:hAnsi="Garamond"/>
          <w:sz w:val="24"/>
          <w:szCs w:val="24"/>
          <w:lang w:val="en-US"/>
        </w:rPr>
        <w:t>Statebuilding</w:t>
      </w:r>
      <w:proofErr w:type="spellEnd"/>
      <w:r w:rsidRPr="00A5147C">
        <w:rPr>
          <w:rFonts w:ascii="Garamond" w:hAnsi="Garamond"/>
          <w:sz w:val="24"/>
          <w:szCs w:val="24"/>
          <w:lang w:val="en-US"/>
        </w:rPr>
        <w:t>, and Peace Formation, Oxford, Oxford University Press, 2021.</w:t>
      </w:r>
    </w:p>
    <w:p w14:paraId="66B856C2"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RIEKER P. y GISKE, M.T.E., European Actorness in a Shifting Geopolitical Order: European Strategic Autonomy Through Differentiated Integration, Berlin, Springer, 2024.</w:t>
      </w:r>
    </w:p>
    <w:p w14:paraId="48E550C1"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ROSE, R., European Security: From Ukraine to Washington, London, Bloomsbury, 2025.</w:t>
      </w:r>
    </w:p>
    <w:p w14:paraId="5907B5F6" w14:textId="33E72EA8" w:rsidR="00F43202" w:rsidRPr="00486F1C" w:rsidRDefault="00486F1C" w:rsidP="00F43202">
      <w:pPr>
        <w:tabs>
          <w:tab w:val="left" w:pos="1147"/>
        </w:tabs>
        <w:spacing w:after="0" w:line="240" w:lineRule="auto"/>
        <w:jc w:val="both"/>
        <w:rPr>
          <w:rFonts w:ascii="Garamond" w:hAnsi="Garamond"/>
          <w:sz w:val="24"/>
          <w:szCs w:val="24"/>
        </w:rPr>
      </w:pPr>
      <w:r w:rsidRPr="0089617C">
        <w:rPr>
          <w:rFonts w:ascii="Garamond" w:hAnsi="Garamond"/>
          <w:sz w:val="24"/>
          <w:szCs w:val="24"/>
        </w:rPr>
        <w:t>SANAHUJA</w:t>
      </w:r>
      <w:r w:rsidR="00F43202" w:rsidRPr="0089617C">
        <w:rPr>
          <w:rFonts w:ascii="Garamond" w:hAnsi="Garamond"/>
          <w:sz w:val="24"/>
          <w:szCs w:val="24"/>
        </w:rPr>
        <w:t xml:space="preserve">, J. A. (ed.). Relanzar las relaciones entre América Latina y la Unión Europea. </w:t>
      </w:r>
      <w:r w:rsidR="00F43202" w:rsidRPr="00486F1C">
        <w:rPr>
          <w:rFonts w:ascii="Garamond" w:hAnsi="Garamond"/>
          <w:sz w:val="24"/>
          <w:szCs w:val="24"/>
        </w:rPr>
        <w:t>Autonomía estratégica, cooperación avanzada y recuperación digital, verde y social. Madrid, Fundación Carolin</w:t>
      </w:r>
      <w:r w:rsidR="00C266F3" w:rsidRPr="00486F1C">
        <w:rPr>
          <w:rFonts w:ascii="Garamond" w:hAnsi="Garamond"/>
          <w:sz w:val="24"/>
          <w:szCs w:val="24"/>
        </w:rPr>
        <w:t>a</w:t>
      </w:r>
      <w:r>
        <w:rPr>
          <w:rFonts w:ascii="Garamond" w:hAnsi="Garamond"/>
          <w:sz w:val="24"/>
          <w:szCs w:val="24"/>
        </w:rPr>
        <w:t xml:space="preserve">, 2022. </w:t>
      </w:r>
    </w:p>
    <w:p w14:paraId="227854BB" w14:textId="3919D84D" w:rsidR="00C266F3" w:rsidRPr="00486F1C" w:rsidRDefault="00486F1C" w:rsidP="00C266F3">
      <w:pPr>
        <w:tabs>
          <w:tab w:val="left" w:pos="1147"/>
        </w:tabs>
        <w:spacing w:after="0" w:line="240" w:lineRule="auto"/>
        <w:jc w:val="both"/>
        <w:rPr>
          <w:rFonts w:ascii="Garamond" w:hAnsi="Garamond"/>
          <w:sz w:val="24"/>
          <w:szCs w:val="24"/>
        </w:rPr>
      </w:pPr>
      <w:r w:rsidRPr="00486F1C">
        <w:rPr>
          <w:rFonts w:ascii="Garamond" w:hAnsi="Garamond"/>
          <w:sz w:val="24"/>
          <w:szCs w:val="24"/>
        </w:rPr>
        <w:t>SANAHUJA</w:t>
      </w:r>
      <w:r w:rsidR="00C266F3" w:rsidRPr="00486F1C">
        <w:rPr>
          <w:rFonts w:ascii="Garamond" w:hAnsi="Garamond"/>
          <w:sz w:val="24"/>
          <w:szCs w:val="24"/>
        </w:rPr>
        <w:t xml:space="preserve">, J. A. “La vía latinoamericana de Europa”, El Grand </w:t>
      </w:r>
      <w:proofErr w:type="spellStart"/>
      <w:r w:rsidR="00C266F3" w:rsidRPr="00486F1C">
        <w:rPr>
          <w:rFonts w:ascii="Garamond" w:hAnsi="Garamond"/>
          <w:sz w:val="24"/>
          <w:szCs w:val="24"/>
        </w:rPr>
        <w:t>Continent</w:t>
      </w:r>
      <w:proofErr w:type="spellEnd"/>
      <w:r w:rsidR="00C266F3" w:rsidRPr="00486F1C">
        <w:rPr>
          <w:rFonts w:ascii="Garamond" w:hAnsi="Garamond"/>
          <w:sz w:val="24"/>
          <w:szCs w:val="24"/>
        </w:rPr>
        <w:t>, 17 de julio (</w:t>
      </w:r>
      <w:r w:rsidRPr="00486F1C">
        <w:rPr>
          <w:rFonts w:ascii="Garamond" w:hAnsi="Garamond"/>
          <w:sz w:val="24"/>
          <w:szCs w:val="24"/>
        </w:rPr>
        <w:t>https://legrandcontinent.eu/es/2023/07/17/la-via-latinoamericana-de-europa/</w:t>
      </w:r>
      <w:r w:rsidR="00C266F3" w:rsidRPr="00486F1C">
        <w:rPr>
          <w:rFonts w:ascii="Garamond" w:hAnsi="Garamond"/>
          <w:sz w:val="24"/>
          <w:szCs w:val="24"/>
        </w:rPr>
        <w:t>).</w:t>
      </w:r>
      <w:r>
        <w:rPr>
          <w:rFonts w:ascii="Garamond" w:hAnsi="Garamond"/>
          <w:sz w:val="24"/>
          <w:szCs w:val="24"/>
        </w:rPr>
        <w:t xml:space="preserve"> 2023.</w:t>
      </w:r>
    </w:p>
    <w:p w14:paraId="2EE9A5DF" w14:textId="39136A33" w:rsidR="00A71DF8" w:rsidRPr="00486F1C" w:rsidRDefault="00486F1C" w:rsidP="00A71DF8">
      <w:pPr>
        <w:tabs>
          <w:tab w:val="left" w:pos="1147"/>
        </w:tabs>
        <w:spacing w:after="0" w:line="240" w:lineRule="auto"/>
        <w:jc w:val="both"/>
        <w:rPr>
          <w:rFonts w:ascii="Garamond" w:hAnsi="Garamond"/>
          <w:sz w:val="24"/>
          <w:szCs w:val="24"/>
        </w:rPr>
      </w:pPr>
      <w:r w:rsidRPr="00486F1C">
        <w:rPr>
          <w:rFonts w:ascii="Garamond" w:hAnsi="Garamond"/>
          <w:sz w:val="24"/>
          <w:szCs w:val="24"/>
        </w:rPr>
        <w:t>SANAHUJA</w:t>
      </w:r>
      <w:r w:rsidR="00A71DF8" w:rsidRPr="00486F1C">
        <w:rPr>
          <w:rFonts w:ascii="Garamond" w:hAnsi="Garamond"/>
          <w:sz w:val="24"/>
          <w:szCs w:val="24"/>
        </w:rPr>
        <w:t xml:space="preserve">, J. A. y Rodríguez, J. D. “Unión Europea y Mercosur: cuatro nudos ¿y un desenlace?”, Nueva Sociedad </w:t>
      </w:r>
      <w:proofErr w:type="spellStart"/>
      <w:r w:rsidR="00A71DF8" w:rsidRPr="00486F1C">
        <w:rPr>
          <w:rFonts w:ascii="Garamond" w:hAnsi="Garamond"/>
          <w:sz w:val="24"/>
          <w:szCs w:val="24"/>
        </w:rPr>
        <w:t>nº</w:t>
      </w:r>
      <w:proofErr w:type="spellEnd"/>
      <w:r w:rsidR="00A71DF8" w:rsidRPr="00486F1C">
        <w:rPr>
          <w:rFonts w:ascii="Garamond" w:hAnsi="Garamond"/>
          <w:sz w:val="24"/>
          <w:szCs w:val="24"/>
        </w:rPr>
        <w:t xml:space="preserve"> 311, mayo-junio, pp. 17-26.</w:t>
      </w:r>
      <w:r>
        <w:rPr>
          <w:rFonts w:ascii="Garamond" w:hAnsi="Garamond"/>
          <w:sz w:val="24"/>
          <w:szCs w:val="24"/>
        </w:rPr>
        <w:t xml:space="preserve"> 2024.</w:t>
      </w:r>
    </w:p>
    <w:p w14:paraId="2057D4C1" w14:textId="355A01E6" w:rsidR="00A5147C" w:rsidRPr="0089617C" w:rsidRDefault="00A5147C" w:rsidP="00A5147C">
      <w:pPr>
        <w:tabs>
          <w:tab w:val="left" w:pos="1147"/>
        </w:tabs>
        <w:spacing w:after="0" w:line="240" w:lineRule="auto"/>
        <w:jc w:val="both"/>
        <w:rPr>
          <w:rFonts w:ascii="Garamond" w:hAnsi="Garamond"/>
          <w:sz w:val="24"/>
          <w:szCs w:val="24"/>
        </w:rPr>
      </w:pPr>
      <w:r w:rsidRPr="0089617C">
        <w:rPr>
          <w:rFonts w:ascii="Garamond" w:hAnsi="Garamond"/>
          <w:sz w:val="24"/>
          <w:szCs w:val="24"/>
        </w:rPr>
        <w:t>SÁNCHEZ RAMOS, B, La Unión Europea como actor global, Valencia, Tirant, 2013.</w:t>
      </w:r>
    </w:p>
    <w:p w14:paraId="6489C561"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SMITH, K. E., European Union Foreign Policy in a Changing World, London, Polity Press, 2015.</w:t>
      </w:r>
    </w:p>
    <w:p w14:paraId="14660F34"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SMITH, Michael E., Europe’s Common Security and </w:t>
      </w:r>
      <w:proofErr w:type="spellStart"/>
      <w:r w:rsidRPr="00A5147C">
        <w:rPr>
          <w:rFonts w:ascii="Garamond" w:hAnsi="Garamond"/>
          <w:sz w:val="24"/>
          <w:szCs w:val="24"/>
          <w:lang w:val="en-US"/>
        </w:rPr>
        <w:t>Defence</w:t>
      </w:r>
      <w:proofErr w:type="spellEnd"/>
      <w:r w:rsidRPr="00A5147C">
        <w:rPr>
          <w:rFonts w:ascii="Garamond" w:hAnsi="Garamond"/>
          <w:sz w:val="24"/>
          <w:szCs w:val="24"/>
          <w:lang w:val="en-US"/>
        </w:rPr>
        <w:t xml:space="preserve"> Policy: Capacity-building, Experiential Learning, and Institutional Change, Cambridge, Cambridge University Press, 2017.</w:t>
      </w:r>
    </w:p>
    <w:p w14:paraId="2A620620"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lastRenderedPageBreak/>
        <w:t>SMITH, M., KEUKELEIRE, S., y VANHOONACKER, S. (Eds.), The Diplomatic System of the European Union, Abingdon, Routledge, 2016.</w:t>
      </w:r>
    </w:p>
    <w:p w14:paraId="0D91B100"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STERN, M., and TOWNS A.E. (eds.) Feminist IR in Europe: Knowledge Production in Academic Institutions, Cham, Switzerland, Palgrave Macmillan, 2022.</w:t>
      </w:r>
    </w:p>
    <w:p w14:paraId="29400965"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TOCCI, N., Framing the EU's Global Strategy: A Stronger Europe in a Fragile World, Basingstoke, Palgrave-Macmillan, 2017.</w:t>
      </w:r>
    </w:p>
    <w:p w14:paraId="18B52A9B"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TOCCI, N., A Green and Global Europe, London, Polity Books, 2022.</w:t>
      </w:r>
    </w:p>
    <w:p w14:paraId="793037A6" w14:textId="77777777" w:rsidR="00A5147C" w:rsidRPr="00A5147C"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WESTLAKE, M., The European Union’s New Foreign Policy, Basingstoke, Palgrave, 2020.</w:t>
      </w:r>
    </w:p>
    <w:p w14:paraId="49D3D61D" w14:textId="77777777" w:rsidR="00A5147C" w:rsidRPr="00DC164B" w:rsidRDefault="00A5147C" w:rsidP="00A5147C">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WIESNER, C. y KNODT, M. (Eds.), The War against Ukraine and the EU. </w:t>
      </w:r>
      <w:r w:rsidRPr="00DC164B">
        <w:rPr>
          <w:rFonts w:ascii="Garamond" w:hAnsi="Garamond"/>
          <w:sz w:val="24"/>
          <w:szCs w:val="24"/>
          <w:lang w:val="en-US"/>
        </w:rPr>
        <w:t>Facing new realities, Berlin, Springer, 2024.</w:t>
      </w:r>
    </w:p>
    <w:p w14:paraId="22B10056" w14:textId="77777777" w:rsidR="00DC164B" w:rsidRDefault="00A5147C" w:rsidP="00D5788F">
      <w:pPr>
        <w:tabs>
          <w:tab w:val="left" w:pos="1147"/>
        </w:tabs>
        <w:spacing w:after="0" w:line="240" w:lineRule="auto"/>
        <w:jc w:val="both"/>
        <w:rPr>
          <w:rFonts w:ascii="Garamond" w:hAnsi="Garamond"/>
          <w:sz w:val="24"/>
          <w:szCs w:val="24"/>
          <w:lang w:val="en-US"/>
        </w:rPr>
      </w:pPr>
      <w:r w:rsidRPr="00A5147C">
        <w:rPr>
          <w:rFonts w:ascii="Garamond" w:hAnsi="Garamond"/>
          <w:sz w:val="24"/>
          <w:szCs w:val="24"/>
          <w:lang w:val="en-US"/>
        </w:rPr>
        <w:t xml:space="preserve">YOUNGS, R., </w:t>
      </w:r>
      <w:proofErr w:type="spellStart"/>
      <w:r w:rsidRPr="00A5147C">
        <w:rPr>
          <w:rFonts w:ascii="Garamond" w:hAnsi="Garamond"/>
          <w:sz w:val="24"/>
          <w:szCs w:val="24"/>
          <w:lang w:val="en-US"/>
        </w:rPr>
        <w:t>Geoliberal</w:t>
      </w:r>
      <w:proofErr w:type="spellEnd"/>
      <w:r w:rsidRPr="00A5147C">
        <w:rPr>
          <w:rFonts w:ascii="Garamond" w:hAnsi="Garamond"/>
          <w:sz w:val="24"/>
          <w:szCs w:val="24"/>
          <w:lang w:val="en-US"/>
        </w:rPr>
        <w:t xml:space="preserve"> Europe and the test of war, London, Agenda Publishing, 2024</w:t>
      </w:r>
    </w:p>
    <w:p w14:paraId="6A8A9385" w14:textId="77777777" w:rsidR="00B11700" w:rsidRPr="00751927" w:rsidRDefault="00B11700" w:rsidP="00DC164B">
      <w:pPr>
        <w:tabs>
          <w:tab w:val="left" w:pos="1147"/>
        </w:tabs>
        <w:spacing w:after="0" w:line="240" w:lineRule="auto"/>
        <w:jc w:val="both"/>
        <w:rPr>
          <w:rFonts w:ascii="Garamond" w:hAnsi="Garamond"/>
          <w:b/>
          <w:bCs/>
          <w:sz w:val="24"/>
          <w:szCs w:val="24"/>
          <w:lang w:val="en-US"/>
        </w:rPr>
      </w:pPr>
    </w:p>
    <w:p w14:paraId="79AA6612" w14:textId="1972F76B" w:rsidR="00DC164B" w:rsidRPr="00BB1DB4" w:rsidRDefault="00BB1DB4" w:rsidP="00DC164B">
      <w:pPr>
        <w:tabs>
          <w:tab w:val="left" w:pos="1147"/>
        </w:tabs>
        <w:spacing w:after="0" w:line="240" w:lineRule="auto"/>
        <w:jc w:val="both"/>
        <w:rPr>
          <w:rFonts w:ascii="Garamond" w:hAnsi="Garamond"/>
          <w:b/>
          <w:bCs/>
          <w:sz w:val="24"/>
          <w:szCs w:val="24"/>
        </w:rPr>
      </w:pPr>
      <w:r w:rsidRPr="00BB1DB4">
        <w:rPr>
          <w:rFonts w:ascii="Garamond" w:hAnsi="Garamond"/>
          <w:b/>
          <w:bCs/>
          <w:sz w:val="24"/>
          <w:szCs w:val="24"/>
        </w:rPr>
        <w:t>REVISTAS CIENTÍFICAS DE INTERÉS</w:t>
      </w:r>
      <w:r w:rsidR="00B11700">
        <w:rPr>
          <w:rFonts w:ascii="Garamond" w:hAnsi="Garamond"/>
          <w:b/>
          <w:bCs/>
          <w:sz w:val="24"/>
          <w:szCs w:val="24"/>
        </w:rPr>
        <w:t>:</w:t>
      </w:r>
    </w:p>
    <w:p w14:paraId="191AC28B" w14:textId="77777777" w:rsidR="00DC164B" w:rsidRPr="00DC164B" w:rsidRDefault="00DC164B" w:rsidP="00DC164B">
      <w:pPr>
        <w:tabs>
          <w:tab w:val="left" w:pos="1147"/>
        </w:tabs>
        <w:spacing w:after="0" w:line="240" w:lineRule="auto"/>
        <w:jc w:val="both"/>
        <w:rPr>
          <w:rFonts w:ascii="Garamond" w:hAnsi="Garamond"/>
          <w:sz w:val="24"/>
          <w:szCs w:val="24"/>
        </w:rPr>
      </w:pPr>
    </w:p>
    <w:p w14:paraId="32A607AB" w14:textId="0D459510"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rPr>
      </w:pPr>
      <w:proofErr w:type="spellStart"/>
      <w:r w:rsidRPr="00DC164B">
        <w:rPr>
          <w:rFonts w:ascii="Garamond" w:hAnsi="Garamond"/>
          <w:sz w:val="24"/>
          <w:szCs w:val="24"/>
        </w:rPr>
        <w:t>European</w:t>
      </w:r>
      <w:proofErr w:type="spellEnd"/>
      <w:r w:rsidRPr="00DC164B">
        <w:rPr>
          <w:rFonts w:ascii="Garamond" w:hAnsi="Garamond"/>
          <w:sz w:val="24"/>
          <w:szCs w:val="24"/>
        </w:rPr>
        <w:t xml:space="preserve"> </w:t>
      </w:r>
      <w:proofErr w:type="spellStart"/>
      <w:r w:rsidRPr="00DC164B">
        <w:rPr>
          <w:rFonts w:ascii="Garamond" w:hAnsi="Garamond"/>
          <w:sz w:val="24"/>
          <w:szCs w:val="24"/>
        </w:rPr>
        <w:t>Foreign</w:t>
      </w:r>
      <w:proofErr w:type="spellEnd"/>
      <w:r w:rsidRPr="00DC164B">
        <w:rPr>
          <w:rFonts w:ascii="Garamond" w:hAnsi="Garamond"/>
          <w:sz w:val="24"/>
          <w:szCs w:val="24"/>
        </w:rPr>
        <w:t xml:space="preserve"> </w:t>
      </w:r>
      <w:proofErr w:type="spellStart"/>
      <w:r w:rsidRPr="00DC164B">
        <w:rPr>
          <w:rFonts w:ascii="Garamond" w:hAnsi="Garamond"/>
          <w:sz w:val="24"/>
          <w:szCs w:val="24"/>
        </w:rPr>
        <w:t>Affairs</w:t>
      </w:r>
      <w:proofErr w:type="spellEnd"/>
      <w:r w:rsidRPr="00DC164B">
        <w:rPr>
          <w:rFonts w:ascii="Garamond" w:hAnsi="Garamond"/>
          <w:sz w:val="24"/>
          <w:szCs w:val="24"/>
        </w:rPr>
        <w:t xml:space="preserve"> </w:t>
      </w:r>
      <w:proofErr w:type="spellStart"/>
      <w:r w:rsidRPr="00DC164B">
        <w:rPr>
          <w:rFonts w:ascii="Garamond" w:hAnsi="Garamond"/>
          <w:sz w:val="24"/>
          <w:szCs w:val="24"/>
        </w:rPr>
        <w:t>Review</w:t>
      </w:r>
      <w:proofErr w:type="spellEnd"/>
    </w:p>
    <w:p w14:paraId="2680F54D" w14:textId="0953BA16"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lang w:val="en-US"/>
        </w:rPr>
      </w:pPr>
      <w:r w:rsidRPr="00DC164B">
        <w:rPr>
          <w:rFonts w:ascii="Garamond" w:hAnsi="Garamond"/>
          <w:sz w:val="24"/>
          <w:szCs w:val="24"/>
          <w:lang w:val="en-US"/>
        </w:rPr>
        <w:t>European Journal of International Relations</w:t>
      </w:r>
    </w:p>
    <w:p w14:paraId="3C4F5E12" w14:textId="15CC6C7E"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lang w:val="en-US"/>
        </w:rPr>
      </w:pPr>
      <w:r w:rsidRPr="00DC164B">
        <w:rPr>
          <w:rFonts w:ascii="Garamond" w:hAnsi="Garamond"/>
          <w:sz w:val="24"/>
          <w:szCs w:val="24"/>
          <w:lang w:val="en-US"/>
        </w:rPr>
        <w:t>European Politics</w:t>
      </w:r>
    </w:p>
    <w:p w14:paraId="4BD89CE0" w14:textId="4A289A7D"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lang w:val="en-US"/>
        </w:rPr>
      </w:pPr>
      <w:r w:rsidRPr="00DC164B">
        <w:rPr>
          <w:rFonts w:ascii="Garamond" w:hAnsi="Garamond"/>
          <w:sz w:val="24"/>
          <w:szCs w:val="24"/>
          <w:lang w:val="en-US"/>
        </w:rPr>
        <w:t>European Security</w:t>
      </w:r>
    </w:p>
    <w:p w14:paraId="50070A07" w14:textId="36A6200B"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lang w:val="en-US"/>
        </w:rPr>
      </w:pPr>
      <w:r w:rsidRPr="00DC164B">
        <w:rPr>
          <w:rFonts w:ascii="Garamond" w:hAnsi="Garamond"/>
          <w:sz w:val="24"/>
          <w:szCs w:val="24"/>
          <w:lang w:val="en-US"/>
        </w:rPr>
        <w:t>Journal of Common Market Studies</w:t>
      </w:r>
    </w:p>
    <w:p w14:paraId="3918816A" w14:textId="52A2A218"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rPr>
      </w:pPr>
      <w:proofErr w:type="spellStart"/>
      <w:r w:rsidRPr="00DC164B">
        <w:rPr>
          <w:rFonts w:ascii="Garamond" w:hAnsi="Garamond"/>
          <w:sz w:val="24"/>
          <w:szCs w:val="24"/>
        </w:rPr>
        <w:t>Journal</w:t>
      </w:r>
      <w:proofErr w:type="spellEnd"/>
      <w:r w:rsidRPr="00DC164B">
        <w:rPr>
          <w:rFonts w:ascii="Garamond" w:hAnsi="Garamond"/>
          <w:sz w:val="24"/>
          <w:szCs w:val="24"/>
        </w:rPr>
        <w:t xml:space="preserve"> </w:t>
      </w:r>
      <w:proofErr w:type="spellStart"/>
      <w:r w:rsidRPr="00DC164B">
        <w:rPr>
          <w:rFonts w:ascii="Garamond" w:hAnsi="Garamond"/>
          <w:sz w:val="24"/>
          <w:szCs w:val="24"/>
        </w:rPr>
        <w:t>of</w:t>
      </w:r>
      <w:proofErr w:type="spellEnd"/>
      <w:r w:rsidRPr="00DC164B">
        <w:rPr>
          <w:rFonts w:ascii="Garamond" w:hAnsi="Garamond"/>
          <w:sz w:val="24"/>
          <w:szCs w:val="24"/>
        </w:rPr>
        <w:t xml:space="preserve"> </w:t>
      </w:r>
      <w:proofErr w:type="spellStart"/>
      <w:r w:rsidRPr="00DC164B">
        <w:rPr>
          <w:rFonts w:ascii="Garamond" w:hAnsi="Garamond"/>
          <w:sz w:val="24"/>
          <w:szCs w:val="24"/>
        </w:rPr>
        <w:t>European</w:t>
      </w:r>
      <w:proofErr w:type="spellEnd"/>
      <w:r w:rsidRPr="00DC164B">
        <w:rPr>
          <w:rFonts w:ascii="Garamond" w:hAnsi="Garamond"/>
          <w:sz w:val="24"/>
          <w:szCs w:val="24"/>
        </w:rPr>
        <w:t xml:space="preserve"> </w:t>
      </w:r>
      <w:proofErr w:type="spellStart"/>
      <w:r w:rsidRPr="00DC164B">
        <w:rPr>
          <w:rFonts w:ascii="Garamond" w:hAnsi="Garamond"/>
          <w:sz w:val="24"/>
          <w:szCs w:val="24"/>
        </w:rPr>
        <w:t>Public</w:t>
      </w:r>
      <w:proofErr w:type="spellEnd"/>
      <w:r w:rsidRPr="00DC164B">
        <w:rPr>
          <w:rFonts w:ascii="Garamond" w:hAnsi="Garamond"/>
          <w:sz w:val="24"/>
          <w:szCs w:val="24"/>
        </w:rPr>
        <w:t xml:space="preserve"> </w:t>
      </w:r>
      <w:proofErr w:type="spellStart"/>
      <w:r w:rsidRPr="00DC164B">
        <w:rPr>
          <w:rFonts w:ascii="Garamond" w:hAnsi="Garamond"/>
          <w:sz w:val="24"/>
          <w:szCs w:val="24"/>
        </w:rPr>
        <w:t>Policy</w:t>
      </w:r>
      <w:proofErr w:type="spellEnd"/>
    </w:p>
    <w:p w14:paraId="7C29954C" w14:textId="1E3400AF" w:rsidR="00DC164B" w:rsidRPr="00DC164B" w:rsidRDefault="00DC164B" w:rsidP="00DC164B">
      <w:pPr>
        <w:pStyle w:val="Prrafodelista"/>
        <w:numPr>
          <w:ilvl w:val="0"/>
          <w:numId w:val="40"/>
        </w:numPr>
        <w:tabs>
          <w:tab w:val="left" w:pos="1147"/>
        </w:tabs>
        <w:spacing w:after="0" w:line="240" w:lineRule="auto"/>
        <w:jc w:val="both"/>
        <w:rPr>
          <w:rFonts w:ascii="Garamond" w:hAnsi="Garamond"/>
          <w:sz w:val="24"/>
          <w:szCs w:val="24"/>
        </w:rPr>
      </w:pPr>
      <w:r w:rsidRPr="00DC164B">
        <w:rPr>
          <w:rFonts w:ascii="Garamond" w:hAnsi="Garamond"/>
          <w:sz w:val="24"/>
          <w:szCs w:val="24"/>
        </w:rPr>
        <w:t xml:space="preserve">Revista de Derecho Comunitario Europeo </w:t>
      </w:r>
    </w:p>
    <w:p w14:paraId="625183FC" w14:textId="77777777" w:rsidR="00DC164B" w:rsidRPr="00DC164B" w:rsidRDefault="00DC164B" w:rsidP="00DC164B">
      <w:pPr>
        <w:tabs>
          <w:tab w:val="left" w:pos="1147"/>
        </w:tabs>
        <w:spacing w:after="0" w:line="240" w:lineRule="auto"/>
        <w:jc w:val="both"/>
        <w:rPr>
          <w:rFonts w:ascii="Garamond" w:hAnsi="Garamond"/>
          <w:sz w:val="24"/>
          <w:szCs w:val="24"/>
        </w:rPr>
      </w:pPr>
    </w:p>
    <w:p w14:paraId="6C4152A8" w14:textId="138AB42F" w:rsidR="00DC164B" w:rsidRPr="00613FA9" w:rsidRDefault="00BB1DB4" w:rsidP="00DC164B">
      <w:pPr>
        <w:tabs>
          <w:tab w:val="left" w:pos="1147"/>
        </w:tabs>
        <w:spacing w:after="0" w:line="240" w:lineRule="auto"/>
        <w:jc w:val="both"/>
        <w:rPr>
          <w:rFonts w:ascii="Garamond" w:hAnsi="Garamond"/>
          <w:b/>
          <w:bCs/>
          <w:sz w:val="24"/>
          <w:szCs w:val="24"/>
        </w:rPr>
      </w:pPr>
      <w:r w:rsidRPr="00613FA9">
        <w:rPr>
          <w:rFonts w:ascii="Garamond" w:hAnsi="Garamond"/>
          <w:b/>
          <w:bCs/>
          <w:sz w:val="24"/>
          <w:szCs w:val="24"/>
        </w:rPr>
        <w:t>SITIOS WEB</w:t>
      </w:r>
      <w:r w:rsidR="00B11700" w:rsidRPr="00613FA9">
        <w:rPr>
          <w:rFonts w:ascii="Garamond" w:hAnsi="Garamond"/>
          <w:b/>
          <w:bCs/>
          <w:sz w:val="24"/>
          <w:szCs w:val="24"/>
        </w:rPr>
        <w:t>:</w:t>
      </w:r>
    </w:p>
    <w:p w14:paraId="210CD764" w14:textId="77777777" w:rsidR="00DC164B" w:rsidRPr="00DC164B" w:rsidRDefault="00DC164B" w:rsidP="00DC164B">
      <w:pPr>
        <w:tabs>
          <w:tab w:val="left" w:pos="1147"/>
        </w:tabs>
        <w:spacing w:after="0" w:line="240" w:lineRule="auto"/>
        <w:jc w:val="both"/>
        <w:rPr>
          <w:rFonts w:ascii="Garamond" w:hAnsi="Garamond"/>
          <w:sz w:val="24"/>
          <w:szCs w:val="24"/>
        </w:rPr>
      </w:pPr>
    </w:p>
    <w:p w14:paraId="04AFE196" w14:textId="77777777" w:rsidR="00DC164B" w:rsidRPr="00751927" w:rsidRDefault="00DC164B" w:rsidP="00B11700">
      <w:pPr>
        <w:pStyle w:val="Prrafodelista"/>
        <w:numPr>
          <w:ilvl w:val="0"/>
          <w:numId w:val="43"/>
        </w:numPr>
        <w:tabs>
          <w:tab w:val="left" w:pos="1147"/>
        </w:tabs>
        <w:spacing w:after="0" w:line="240" w:lineRule="auto"/>
        <w:jc w:val="both"/>
        <w:rPr>
          <w:rFonts w:ascii="Garamond" w:hAnsi="Garamond"/>
          <w:sz w:val="24"/>
          <w:szCs w:val="24"/>
          <w:lang w:val="en-US"/>
        </w:rPr>
      </w:pPr>
      <w:r w:rsidRPr="00751927">
        <w:rPr>
          <w:rFonts w:ascii="Garamond" w:hAnsi="Garamond"/>
          <w:sz w:val="24"/>
          <w:szCs w:val="24"/>
          <w:lang w:val="en-US"/>
        </w:rPr>
        <w:t>"Exploring EU Foreign Policy” www.eufp.eu.</w:t>
      </w:r>
    </w:p>
    <w:p w14:paraId="6A6DEB31" w14:textId="77777777" w:rsidR="00DC164B" w:rsidRPr="00B11700" w:rsidRDefault="00DC164B" w:rsidP="00B11700">
      <w:pPr>
        <w:pStyle w:val="Prrafodelista"/>
        <w:numPr>
          <w:ilvl w:val="0"/>
          <w:numId w:val="43"/>
        </w:numPr>
        <w:tabs>
          <w:tab w:val="left" w:pos="1147"/>
        </w:tabs>
        <w:spacing w:after="0" w:line="240" w:lineRule="auto"/>
        <w:jc w:val="both"/>
        <w:rPr>
          <w:rFonts w:ascii="Garamond" w:hAnsi="Garamond"/>
          <w:sz w:val="24"/>
          <w:szCs w:val="24"/>
        </w:rPr>
      </w:pPr>
      <w:r w:rsidRPr="00B11700">
        <w:rPr>
          <w:rFonts w:ascii="Garamond" w:hAnsi="Garamond"/>
          <w:sz w:val="24"/>
          <w:szCs w:val="24"/>
        </w:rPr>
        <w:t>EEAS, https://www.eeas.europa.eu/_en</w:t>
      </w:r>
    </w:p>
    <w:p w14:paraId="15E49D61" w14:textId="77777777" w:rsidR="00DC164B" w:rsidRPr="00751927" w:rsidRDefault="00DC164B" w:rsidP="00B11700">
      <w:pPr>
        <w:pStyle w:val="Prrafodelista"/>
        <w:numPr>
          <w:ilvl w:val="0"/>
          <w:numId w:val="43"/>
        </w:numPr>
        <w:tabs>
          <w:tab w:val="left" w:pos="1147"/>
        </w:tabs>
        <w:spacing w:after="0" w:line="240" w:lineRule="auto"/>
        <w:jc w:val="both"/>
        <w:rPr>
          <w:rFonts w:ascii="Garamond" w:hAnsi="Garamond"/>
          <w:sz w:val="24"/>
          <w:szCs w:val="24"/>
          <w:lang w:val="pt-PT"/>
        </w:rPr>
      </w:pPr>
      <w:r w:rsidRPr="00751927">
        <w:rPr>
          <w:rFonts w:ascii="Garamond" w:hAnsi="Garamond"/>
          <w:sz w:val="24"/>
          <w:szCs w:val="24"/>
          <w:lang w:val="pt-PT"/>
        </w:rPr>
        <w:t xml:space="preserve">EU Observer, https://euobserver.com/ </w:t>
      </w:r>
    </w:p>
    <w:p w14:paraId="7E765F43" w14:textId="77777777" w:rsidR="00DC164B" w:rsidRPr="00B11700" w:rsidRDefault="00DC164B" w:rsidP="00B11700">
      <w:pPr>
        <w:pStyle w:val="Prrafodelista"/>
        <w:numPr>
          <w:ilvl w:val="0"/>
          <w:numId w:val="43"/>
        </w:numPr>
        <w:tabs>
          <w:tab w:val="left" w:pos="1147"/>
        </w:tabs>
        <w:spacing w:after="0" w:line="240" w:lineRule="auto"/>
        <w:jc w:val="both"/>
        <w:rPr>
          <w:rFonts w:ascii="Garamond" w:hAnsi="Garamond"/>
          <w:sz w:val="24"/>
          <w:szCs w:val="24"/>
          <w:lang w:val="en-US"/>
        </w:rPr>
      </w:pPr>
      <w:proofErr w:type="spellStart"/>
      <w:r w:rsidRPr="00B11700">
        <w:rPr>
          <w:rFonts w:ascii="Garamond" w:hAnsi="Garamond"/>
          <w:sz w:val="24"/>
          <w:szCs w:val="24"/>
          <w:lang w:val="en-US"/>
        </w:rPr>
        <w:t>Euractiv</w:t>
      </w:r>
      <w:proofErr w:type="spellEnd"/>
      <w:r w:rsidRPr="00B11700">
        <w:rPr>
          <w:rFonts w:ascii="Garamond" w:hAnsi="Garamond"/>
          <w:sz w:val="24"/>
          <w:szCs w:val="24"/>
          <w:lang w:val="en-US"/>
        </w:rPr>
        <w:t xml:space="preserve">, https://www.euractiv.com/ </w:t>
      </w:r>
    </w:p>
    <w:p w14:paraId="5D9D9F17" w14:textId="1E31830E" w:rsidR="00612E85" w:rsidRPr="00B11700" w:rsidRDefault="00DC164B" w:rsidP="00B11700">
      <w:pPr>
        <w:pStyle w:val="Prrafodelista"/>
        <w:numPr>
          <w:ilvl w:val="0"/>
          <w:numId w:val="43"/>
        </w:numPr>
        <w:tabs>
          <w:tab w:val="left" w:pos="1147"/>
        </w:tabs>
        <w:spacing w:after="0" w:line="240" w:lineRule="auto"/>
        <w:jc w:val="both"/>
        <w:rPr>
          <w:rFonts w:ascii="Garamond" w:hAnsi="Garamond"/>
          <w:sz w:val="24"/>
          <w:szCs w:val="24"/>
          <w:lang w:val="en-US"/>
        </w:rPr>
      </w:pPr>
      <w:r w:rsidRPr="00B11700">
        <w:rPr>
          <w:rFonts w:ascii="Garamond" w:hAnsi="Garamond"/>
          <w:sz w:val="24"/>
          <w:szCs w:val="24"/>
          <w:lang w:val="en-US"/>
        </w:rPr>
        <w:t>Politico, https://www.politico.eu/</w:t>
      </w:r>
      <w:r w:rsidR="00B47B00" w:rsidRPr="00B11700">
        <w:rPr>
          <w:rFonts w:ascii="Garamond" w:hAnsi="Garamond"/>
          <w:sz w:val="24"/>
          <w:szCs w:val="24"/>
          <w:lang w:val="en-US"/>
        </w:rPr>
        <w:t xml:space="preserve"> </w:t>
      </w:r>
    </w:p>
    <w:sectPr w:rsidR="00612E85" w:rsidRPr="00B11700" w:rsidSect="00527AF7">
      <w:footerReference w:type="default" r:id="rId7"/>
      <w:pgSz w:w="11906" w:h="16838" w:code="9"/>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1D27A" w14:textId="77777777" w:rsidR="00410661" w:rsidRDefault="00410661" w:rsidP="00527AF7">
      <w:pPr>
        <w:spacing w:after="0" w:line="240" w:lineRule="auto"/>
      </w:pPr>
      <w:r>
        <w:separator/>
      </w:r>
    </w:p>
  </w:endnote>
  <w:endnote w:type="continuationSeparator" w:id="0">
    <w:p w14:paraId="795301D3" w14:textId="77777777" w:rsidR="00410661" w:rsidRDefault="00410661" w:rsidP="00527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245113"/>
      <w:docPartObj>
        <w:docPartGallery w:val="Page Numbers (Bottom of Page)"/>
        <w:docPartUnique/>
      </w:docPartObj>
    </w:sdtPr>
    <w:sdtEndPr/>
    <w:sdtContent>
      <w:p w14:paraId="42197010" w14:textId="0E30AB73" w:rsidR="00527AF7" w:rsidRDefault="00527AF7">
        <w:pPr>
          <w:pStyle w:val="Piedepgina"/>
          <w:jc w:val="right"/>
        </w:pPr>
        <w:r>
          <w:fldChar w:fldCharType="begin"/>
        </w:r>
        <w:r>
          <w:instrText>PAGE   \* MERGEFORMAT</w:instrText>
        </w:r>
        <w:r>
          <w:fldChar w:fldCharType="separate"/>
        </w:r>
        <w:r>
          <w:t>2</w:t>
        </w:r>
        <w:r>
          <w:fldChar w:fldCharType="end"/>
        </w:r>
      </w:p>
    </w:sdtContent>
  </w:sdt>
  <w:p w14:paraId="280BA4BF" w14:textId="77777777" w:rsidR="00527AF7" w:rsidRDefault="00527A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3BEC6" w14:textId="77777777" w:rsidR="00410661" w:rsidRDefault="00410661" w:rsidP="00527AF7">
      <w:pPr>
        <w:spacing w:after="0" w:line="240" w:lineRule="auto"/>
      </w:pPr>
      <w:r>
        <w:separator/>
      </w:r>
    </w:p>
  </w:footnote>
  <w:footnote w:type="continuationSeparator" w:id="0">
    <w:p w14:paraId="310B614A" w14:textId="77777777" w:rsidR="00410661" w:rsidRDefault="00410661" w:rsidP="00527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B6230"/>
    <w:multiLevelType w:val="multilevel"/>
    <w:tmpl w:val="415E0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E639B"/>
    <w:multiLevelType w:val="multilevel"/>
    <w:tmpl w:val="F47A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1A81"/>
    <w:multiLevelType w:val="multilevel"/>
    <w:tmpl w:val="86B2C9CE"/>
    <w:lvl w:ilvl="0">
      <w:start w:val="1"/>
      <w:numFmt w:val="upperRoman"/>
      <w:lvlText w:val="%1."/>
      <w:lvlJc w:val="left"/>
      <w:pPr>
        <w:tabs>
          <w:tab w:val="num" w:pos="360"/>
        </w:tabs>
        <w:ind w:left="360" w:hanging="360"/>
      </w:pPr>
      <w:rPr>
        <w:rFonts w:ascii="Garamond" w:eastAsiaTheme="minorHAnsi" w:hAnsi="Garamond" w:cstheme="minorBidi"/>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B44701C"/>
    <w:multiLevelType w:val="hybridMultilevel"/>
    <w:tmpl w:val="4BBE4B64"/>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E9C1A3C"/>
    <w:multiLevelType w:val="multilevel"/>
    <w:tmpl w:val="2B549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D36471"/>
    <w:multiLevelType w:val="multilevel"/>
    <w:tmpl w:val="3F80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B522D"/>
    <w:multiLevelType w:val="multilevel"/>
    <w:tmpl w:val="B3C2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9E2B89"/>
    <w:multiLevelType w:val="hybridMultilevel"/>
    <w:tmpl w:val="EA5ECA44"/>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98962FE"/>
    <w:multiLevelType w:val="multilevel"/>
    <w:tmpl w:val="11EA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AF2C69"/>
    <w:multiLevelType w:val="multilevel"/>
    <w:tmpl w:val="0428A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6F3A92"/>
    <w:multiLevelType w:val="multilevel"/>
    <w:tmpl w:val="7B4C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775C5A"/>
    <w:multiLevelType w:val="hybridMultilevel"/>
    <w:tmpl w:val="87928F44"/>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E4121C4"/>
    <w:multiLevelType w:val="multilevel"/>
    <w:tmpl w:val="0B56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B97417"/>
    <w:multiLevelType w:val="multilevel"/>
    <w:tmpl w:val="AE7EA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387E67"/>
    <w:multiLevelType w:val="multilevel"/>
    <w:tmpl w:val="FB62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A730EC"/>
    <w:multiLevelType w:val="hybridMultilevel"/>
    <w:tmpl w:val="0A84AF4A"/>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79B67DD"/>
    <w:multiLevelType w:val="multilevel"/>
    <w:tmpl w:val="96327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A306EF"/>
    <w:multiLevelType w:val="hybridMultilevel"/>
    <w:tmpl w:val="6F8481A0"/>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B81F70"/>
    <w:multiLevelType w:val="multilevel"/>
    <w:tmpl w:val="95AE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C131B8"/>
    <w:multiLevelType w:val="hybridMultilevel"/>
    <w:tmpl w:val="4F667D8E"/>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1407A8A"/>
    <w:multiLevelType w:val="hybridMultilevel"/>
    <w:tmpl w:val="159AFDCC"/>
    <w:lvl w:ilvl="0" w:tplc="1D2228AE">
      <w:start w:val="1"/>
      <w:numFmt w:val="bullet"/>
      <w:lvlText w:val=""/>
      <w:lvlJc w:val="left"/>
      <w:pPr>
        <w:ind w:left="720" w:hanging="360"/>
      </w:pPr>
      <w:rPr>
        <w:rFonts w:ascii="Symbol" w:hAnsi="Symbol" w:hint="default"/>
      </w:rPr>
    </w:lvl>
    <w:lvl w:ilvl="1" w:tplc="171C0AC2">
      <w:numFmt w:val="bullet"/>
      <w:lvlText w:val="•"/>
      <w:lvlJc w:val="left"/>
      <w:pPr>
        <w:ind w:left="2232" w:hanging="1152"/>
      </w:pPr>
      <w:rPr>
        <w:rFonts w:ascii="Garamond" w:eastAsiaTheme="minorHAnsi" w:hAnsi="Garamond" w:cstheme="minorBid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F93A8C"/>
    <w:multiLevelType w:val="multilevel"/>
    <w:tmpl w:val="B038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EB1ABE"/>
    <w:multiLevelType w:val="multilevel"/>
    <w:tmpl w:val="5DF6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345815"/>
    <w:multiLevelType w:val="hybridMultilevel"/>
    <w:tmpl w:val="CB229356"/>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844870"/>
    <w:multiLevelType w:val="multilevel"/>
    <w:tmpl w:val="8CAC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24586D"/>
    <w:multiLevelType w:val="multilevel"/>
    <w:tmpl w:val="1E06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6457C8"/>
    <w:multiLevelType w:val="hybridMultilevel"/>
    <w:tmpl w:val="CED09870"/>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DC30143"/>
    <w:multiLevelType w:val="multilevel"/>
    <w:tmpl w:val="3804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5A7B98"/>
    <w:multiLevelType w:val="hybridMultilevel"/>
    <w:tmpl w:val="785489F0"/>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04A70C7"/>
    <w:multiLevelType w:val="hybridMultilevel"/>
    <w:tmpl w:val="C09E0A3C"/>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1FA20F4"/>
    <w:multiLevelType w:val="multilevel"/>
    <w:tmpl w:val="C522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C64AD0"/>
    <w:multiLevelType w:val="hybridMultilevel"/>
    <w:tmpl w:val="C99C0AC6"/>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A6232FE"/>
    <w:multiLevelType w:val="hybridMultilevel"/>
    <w:tmpl w:val="10ACF2B4"/>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C382797"/>
    <w:multiLevelType w:val="multilevel"/>
    <w:tmpl w:val="17BE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C83720"/>
    <w:multiLevelType w:val="hybridMultilevel"/>
    <w:tmpl w:val="9E42DC38"/>
    <w:lvl w:ilvl="0" w:tplc="4C167792">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5FF16ABC"/>
    <w:multiLevelType w:val="multilevel"/>
    <w:tmpl w:val="F8149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561A12"/>
    <w:multiLevelType w:val="hybridMultilevel"/>
    <w:tmpl w:val="C0B680B4"/>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5B2247A"/>
    <w:multiLevelType w:val="multilevel"/>
    <w:tmpl w:val="314C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C41B54"/>
    <w:multiLevelType w:val="hybridMultilevel"/>
    <w:tmpl w:val="354C099A"/>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9337768"/>
    <w:multiLevelType w:val="multilevel"/>
    <w:tmpl w:val="2010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5035AA"/>
    <w:multiLevelType w:val="hybridMultilevel"/>
    <w:tmpl w:val="0368190E"/>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B3C12E5"/>
    <w:multiLevelType w:val="hybridMultilevel"/>
    <w:tmpl w:val="413ABE6E"/>
    <w:lvl w:ilvl="0" w:tplc="25D853E8">
      <w:start w:val="1"/>
      <w:numFmt w:val="bullet"/>
      <w:lvlText w:val=""/>
      <w:lvlJc w:val="left"/>
      <w:pPr>
        <w:tabs>
          <w:tab w:val="num" w:pos="720"/>
        </w:tabs>
        <w:ind w:left="720" w:hanging="360"/>
      </w:pPr>
      <w:rPr>
        <w:rFonts w:ascii="Wingdings" w:hAnsi="Wingdings" w:hint="default"/>
      </w:rPr>
    </w:lvl>
    <w:lvl w:ilvl="1" w:tplc="67884414">
      <w:start w:val="1"/>
      <w:numFmt w:val="bullet"/>
      <w:lvlText w:val=""/>
      <w:lvlJc w:val="left"/>
      <w:pPr>
        <w:tabs>
          <w:tab w:val="num" w:pos="1440"/>
        </w:tabs>
        <w:ind w:left="1440" w:hanging="360"/>
      </w:pPr>
      <w:rPr>
        <w:rFonts w:ascii="Wingdings" w:hAnsi="Wingdings" w:hint="default"/>
      </w:rPr>
    </w:lvl>
    <w:lvl w:ilvl="2" w:tplc="3064E482">
      <w:start w:val="1082"/>
      <w:numFmt w:val="bullet"/>
      <w:lvlText w:val=""/>
      <w:lvlJc w:val="left"/>
      <w:pPr>
        <w:tabs>
          <w:tab w:val="num" w:pos="2160"/>
        </w:tabs>
        <w:ind w:left="2160" w:hanging="360"/>
      </w:pPr>
      <w:rPr>
        <w:rFonts w:ascii="Wingdings 2" w:hAnsi="Wingdings 2" w:hint="default"/>
      </w:rPr>
    </w:lvl>
    <w:lvl w:ilvl="3" w:tplc="ED1C0286">
      <w:start w:val="1082"/>
      <w:numFmt w:val="bullet"/>
      <w:lvlText w:val=""/>
      <w:lvlJc w:val="left"/>
      <w:pPr>
        <w:tabs>
          <w:tab w:val="num" w:pos="2880"/>
        </w:tabs>
        <w:ind w:left="2880" w:hanging="360"/>
      </w:pPr>
      <w:rPr>
        <w:rFonts w:ascii="Wingdings" w:hAnsi="Wingdings" w:hint="default"/>
      </w:rPr>
    </w:lvl>
    <w:lvl w:ilvl="4" w:tplc="3192F67A" w:tentative="1">
      <w:start w:val="1"/>
      <w:numFmt w:val="bullet"/>
      <w:lvlText w:val=""/>
      <w:lvlJc w:val="left"/>
      <w:pPr>
        <w:tabs>
          <w:tab w:val="num" w:pos="3600"/>
        </w:tabs>
        <w:ind w:left="3600" w:hanging="360"/>
      </w:pPr>
      <w:rPr>
        <w:rFonts w:ascii="Wingdings" w:hAnsi="Wingdings" w:hint="default"/>
      </w:rPr>
    </w:lvl>
    <w:lvl w:ilvl="5" w:tplc="2E7229EA" w:tentative="1">
      <w:start w:val="1"/>
      <w:numFmt w:val="bullet"/>
      <w:lvlText w:val=""/>
      <w:lvlJc w:val="left"/>
      <w:pPr>
        <w:tabs>
          <w:tab w:val="num" w:pos="4320"/>
        </w:tabs>
        <w:ind w:left="4320" w:hanging="360"/>
      </w:pPr>
      <w:rPr>
        <w:rFonts w:ascii="Wingdings" w:hAnsi="Wingdings" w:hint="default"/>
      </w:rPr>
    </w:lvl>
    <w:lvl w:ilvl="6" w:tplc="55B227EC" w:tentative="1">
      <w:start w:val="1"/>
      <w:numFmt w:val="bullet"/>
      <w:lvlText w:val=""/>
      <w:lvlJc w:val="left"/>
      <w:pPr>
        <w:tabs>
          <w:tab w:val="num" w:pos="5040"/>
        </w:tabs>
        <w:ind w:left="5040" w:hanging="360"/>
      </w:pPr>
      <w:rPr>
        <w:rFonts w:ascii="Wingdings" w:hAnsi="Wingdings" w:hint="default"/>
      </w:rPr>
    </w:lvl>
    <w:lvl w:ilvl="7" w:tplc="D2E8AFE2" w:tentative="1">
      <w:start w:val="1"/>
      <w:numFmt w:val="bullet"/>
      <w:lvlText w:val=""/>
      <w:lvlJc w:val="left"/>
      <w:pPr>
        <w:tabs>
          <w:tab w:val="num" w:pos="5760"/>
        </w:tabs>
        <w:ind w:left="5760" w:hanging="360"/>
      </w:pPr>
      <w:rPr>
        <w:rFonts w:ascii="Wingdings" w:hAnsi="Wingdings" w:hint="default"/>
      </w:rPr>
    </w:lvl>
    <w:lvl w:ilvl="8" w:tplc="0626185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096C9D"/>
    <w:multiLevelType w:val="hybridMultilevel"/>
    <w:tmpl w:val="0852B190"/>
    <w:lvl w:ilvl="0" w:tplc="1D2228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3"/>
  </w:num>
  <w:num w:numId="2">
    <w:abstractNumId w:val="1"/>
  </w:num>
  <w:num w:numId="3">
    <w:abstractNumId w:val="12"/>
  </w:num>
  <w:num w:numId="4">
    <w:abstractNumId w:val="22"/>
  </w:num>
  <w:num w:numId="5">
    <w:abstractNumId w:val="4"/>
  </w:num>
  <w:num w:numId="6">
    <w:abstractNumId w:val="6"/>
  </w:num>
  <w:num w:numId="7">
    <w:abstractNumId w:val="30"/>
  </w:num>
  <w:num w:numId="8">
    <w:abstractNumId w:val="13"/>
  </w:num>
  <w:num w:numId="9">
    <w:abstractNumId w:val="21"/>
  </w:num>
  <w:num w:numId="10">
    <w:abstractNumId w:val="9"/>
  </w:num>
  <w:num w:numId="11">
    <w:abstractNumId w:val="24"/>
  </w:num>
  <w:num w:numId="12">
    <w:abstractNumId w:val="5"/>
  </w:num>
  <w:num w:numId="13">
    <w:abstractNumId w:val="25"/>
  </w:num>
  <w:num w:numId="14">
    <w:abstractNumId w:val="37"/>
  </w:num>
  <w:num w:numId="15">
    <w:abstractNumId w:val="18"/>
  </w:num>
  <w:num w:numId="16">
    <w:abstractNumId w:val="16"/>
  </w:num>
  <w:num w:numId="17">
    <w:abstractNumId w:val="35"/>
  </w:num>
  <w:num w:numId="18">
    <w:abstractNumId w:val="14"/>
  </w:num>
  <w:num w:numId="19">
    <w:abstractNumId w:val="10"/>
  </w:num>
  <w:num w:numId="20">
    <w:abstractNumId w:val="39"/>
  </w:num>
  <w:num w:numId="21">
    <w:abstractNumId w:val="8"/>
  </w:num>
  <w:num w:numId="22">
    <w:abstractNumId w:val="0"/>
  </w:num>
  <w:num w:numId="23">
    <w:abstractNumId w:val="2"/>
  </w:num>
  <w:num w:numId="24">
    <w:abstractNumId w:val="34"/>
  </w:num>
  <w:num w:numId="25">
    <w:abstractNumId w:val="27"/>
  </w:num>
  <w:num w:numId="26">
    <w:abstractNumId w:val="41"/>
  </w:num>
  <w:num w:numId="27">
    <w:abstractNumId w:val="11"/>
  </w:num>
  <w:num w:numId="28">
    <w:abstractNumId w:val="26"/>
  </w:num>
  <w:num w:numId="29">
    <w:abstractNumId w:val="17"/>
  </w:num>
  <w:num w:numId="30">
    <w:abstractNumId w:val="3"/>
  </w:num>
  <w:num w:numId="31">
    <w:abstractNumId w:val="7"/>
  </w:num>
  <w:num w:numId="32">
    <w:abstractNumId w:val="36"/>
  </w:num>
  <w:num w:numId="33">
    <w:abstractNumId w:val="32"/>
  </w:num>
  <w:num w:numId="34">
    <w:abstractNumId w:val="40"/>
  </w:num>
  <w:num w:numId="35">
    <w:abstractNumId w:val="42"/>
  </w:num>
  <w:num w:numId="36">
    <w:abstractNumId w:val="28"/>
  </w:num>
  <w:num w:numId="37">
    <w:abstractNumId w:val="38"/>
  </w:num>
  <w:num w:numId="38">
    <w:abstractNumId w:val="19"/>
  </w:num>
  <w:num w:numId="39">
    <w:abstractNumId w:val="15"/>
  </w:num>
  <w:num w:numId="40">
    <w:abstractNumId w:val="20"/>
  </w:num>
  <w:num w:numId="41">
    <w:abstractNumId w:val="29"/>
  </w:num>
  <w:num w:numId="42">
    <w:abstractNumId w:val="23"/>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567"/>
    <w:rsid w:val="000009F6"/>
    <w:rsid w:val="00011229"/>
    <w:rsid w:val="00017566"/>
    <w:rsid w:val="00036533"/>
    <w:rsid w:val="00066567"/>
    <w:rsid w:val="000720EA"/>
    <w:rsid w:val="00073CA0"/>
    <w:rsid w:val="00074814"/>
    <w:rsid w:val="0009411C"/>
    <w:rsid w:val="000A039E"/>
    <w:rsid w:val="000D1143"/>
    <w:rsid w:val="000D4570"/>
    <w:rsid w:val="000D5257"/>
    <w:rsid w:val="000D7600"/>
    <w:rsid w:val="000E28E0"/>
    <w:rsid w:val="000F0CB7"/>
    <w:rsid w:val="000F3288"/>
    <w:rsid w:val="00101AE1"/>
    <w:rsid w:val="00110232"/>
    <w:rsid w:val="00112782"/>
    <w:rsid w:val="0012099D"/>
    <w:rsid w:val="00122917"/>
    <w:rsid w:val="00136181"/>
    <w:rsid w:val="0014662D"/>
    <w:rsid w:val="001512D1"/>
    <w:rsid w:val="001956AB"/>
    <w:rsid w:val="001B0242"/>
    <w:rsid w:val="001B0962"/>
    <w:rsid w:val="001B61C9"/>
    <w:rsid w:val="001C29A6"/>
    <w:rsid w:val="001C32E9"/>
    <w:rsid w:val="001C734B"/>
    <w:rsid w:val="001F0115"/>
    <w:rsid w:val="001F54B1"/>
    <w:rsid w:val="001F5741"/>
    <w:rsid w:val="00221254"/>
    <w:rsid w:val="00234CF2"/>
    <w:rsid w:val="0024060E"/>
    <w:rsid w:val="0025184C"/>
    <w:rsid w:val="002A51BB"/>
    <w:rsid w:val="002B0C0F"/>
    <w:rsid w:val="002D26A4"/>
    <w:rsid w:val="002D72C5"/>
    <w:rsid w:val="002E0905"/>
    <w:rsid w:val="002F7DF4"/>
    <w:rsid w:val="003048C4"/>
    <w:rsid w:val="00310312"/>
    <w:rsid w:val="003135A3"/>
    <w:rsid w:val="00313A82"/>
    <w:rsid w:val="00315AC8"/>
    <w:rsid w:val="003253A8"/>
    <w:rsid w:val="00331315"/>
    <w:rsid w:val="00337967"/>
    <w:rsid w:val="00344680"/>
    <w:rsid w:val="0035084C"/>
    <w:rsid w:val="00365A17"/>
    <w:rsid w:val="00384C65"/>
    <w:rsid w:val="00392412"/>
    <w:rsid w:val="003B2BBB"/>
    <w:rsid w:val="003B4287"/>
    <w:rsid w:val="003B658A"/>
    <w:rsid w:val="003C3F78"/>
    <w:rsid w:val="003C42CD"/>
    <w:rsid w:val="003D6F82"/>
    <w:rsid w:val="003E4F45"/>
    <w:rsid w:val="00410661"/>
    <w:rsid w:val="00415BE5"/>
    <w:rsid w:val="00425530"/>
    <w:rsid w:val="004264D4"/>
    <w:rsid w:val="00447178"/>
    <w:rsid w:val="00451CFB"/>
    <w:rsid w:val="00454431"/>
    <w:rsid w:val="00467C73"/>
    <w:rsid w:val="00486F1C"/>
    <w:rsid w:val="004A2608"/>
    <w:rsid w:val="004E5D1C"/>
    <w:rsid w:val="004F6EFA"/>
    <w:rsid w:val="00503935"/>
    <w:rsid w:val="00506035"/>
    <w:rsid w:val="0050727C"/>
    <w:rsid w:val="00527AF7"/>
    <w:rsid w:val="00541285"/>
    <w:rsid w:val="00563B2B"/>
    <w:rsid w:val="005647DB"/>
    <w:rsid w:val="0058171F"/>
    <w:rsid w:val="0058247A"/>
    <w:rsid w:val="00593538"/>
    <w:rsid w:val="005B49CC"/>
    <w:rsid w:val="005E7DB4"/>
    <w:rsid w:val="005F2E0C"/>
    <w:rsid w:val="006008AB"/>
    <w:rsid w:val="0060468D"/>
    <w:rsid w:val="0060737D"/>
    <w:rsid w:val="00612E85"/>
    <w:rsid w:val="00613FA9"/>
    <w:rsid w:val="0062114E"/>
    <w:rsid w:val="00621F02"/>
    <w:rsid w:val="00625B40"/>
    <w:rsid w:val="00635C69"/>
    <w:rsid w:val="00640C41"/>
    <w:rsid w:val="00675899"/>
    <w:rsid w:val="006822B3"/>
    <w:rsid w:val="006860AD"/>
    <w:rsid w:val="006948B1"/>
    <w:rsid w:val="006A0CFF"/>
    <w:rsid w:val="006B491A"/>
    <w:rsid w:val="006D6AE6"/>
    <w:rsid w:val="006E364C"/>
    <w:rsid w:val="006E3993"/>
    <w:rsid w:val="007175D2"/>
    <w:rsid w:val="00723F97"/>
    <w:rsid w:val="00743739"/>
    <w:rsid w:val="00745FD1"/>
    <w:rsid w:val="00751927"/>
    <w:rsid w:val="0075643C"/>
    <w:rsid w:val="007624F8"/>
    <w:rsid w:val="00772223"/>
    <w:rsid w:val="00791447"/>
    <w:rsid w:val="007953FE"/>
    <w:rsid w:val="007A157C"/>
    <w:rsid w:val="007B6876"/>
    <w:rsid w:val="007C264E"/>
    <w:rsid w:val="00811FD7"/>
    <w:rsid w:val="00812077"/>
    <w:rsid w:val="00844310"/>
    <w:rsid w:val="008558B6"/>
    <w:rsid w:val="00892336"/>
    <w:rsid w:val="0089617C"/>
    <w:rsid w:val="00897FEF"/>
    <w:rsid w:val="008D5711"/>
    <w:rsid w:val="009014C6"/>
    <w:rsid w:val="009034A5"/>
    <w:rsid w:val="00912BE7"/>
    <w:rsid w:val="00917D18"/>
    <w:rsid w:val="0093091E"/>
    <w:rsid w:val="009425BF"/>
    <w:rsid w:val="00953187"/>
    <w:rsid w:val="00957F3E"/>
    <w:rsid w:val="009612B6"/>
    <w:rsid w:val="009644AC"/>
    <w:rsid w:val="00966A10"/>
    <w:rsid w:val="00967620"/>
    <w:rsid w:val="009819FA"/>
    <w:rsid w:val="0098323A"/>
    <w:rsid w:val="009A3046"/>
    <w:rsid w:val="009A564E"/>
    <w:rsid w:val="009B5332"/>
    <w:rsid w:val="009D14B4"/>
    <w:rsid w:val="009F0474"/>
    <w:rsid w:val="00A227A5"/>
    <w:rsid w:val="00A24FB9"/>
    <w:rsid w:val="00A40B22"/>
    <w:rsid w:val="00A5147C"/>
    <w:rsid w:val="00A5685F"/>
    <w:rsid w:val="00A60A09"/>
    <w:rsid w:val="00A62204"/>
    <w:rsid w:val="00A64B42"/>
    <w:rsid w:val="00A6789E"/>
    <w:rsid w:val="00A71DF8"/>
    <w:rsid w:val="00A9089A"/>
    <w:rsid w:val="00A91544"/>
    <w:rsid w:val="00A9470A"/>
    <w:rsid w:val="00A969F2"/>
    <w:rsid w:val="00AA3901"/>
    <w:rsid w:val="00AA68A2"/>
    <w:rsid w:val="00AC5D06"/>
    <w:rsid w:val="00AE0148"/>
    <w:rsid w:val="00AE7500"/>
    <w:rsid w:val="00B11700"/>
    <w:rsid w:val="00B12B5A"/>
    <w:rsid w:val="00B17A34"/>
    <w:rsid w:val="00B30F84"/>
    <w:rsid w:val="00B35C0C"/>
    <w:rsid w:val="00B3756E"/>
    <w:rsid w:val="00B47B00"/>
    <w:rsid w:val="00B606B6"/>
    <w:rsid w:val="00B6534F"/>
    <w:rsid w:val="00B741AD"/>
    <w:rsid w:val="00B81C5A"/>
    <w:rsid w:val="00B82650"/>
    <w:rsid w:val="00BA5EB6"/>
    <w:rsid w:val="00BB138F"/>
    <w:rsid w:val="00BB1DB4"/>
    <w:rsid w:val="00BB6342"/>
    <w:rsid w:val="00BC77D8"/>
    <w:rsid w:val="00BD3E84"/>
    <w:rsid w:val="00BE186A"/>
    <w:rsid w:val="00BE23D4"/>
    <w:rsid w:val="00C068C5"/>
    <w:rsid w:val="00C14B29"/>
    <w:rsid w:val="00C266F3"/>
    <w:rsid w:val="00C502CC"/>
    <w:rsid w:val="00C554E1"/>
    <w:rsid w:val="00C55963"/>
    <w:rsid w:val="00C63004"/>
    <w:rsid w:val="00C76BDD"/>
    <w:rsid w:val="00CB0A91"/>
    <w:rsid w:val="00CC19E2"/>
    <w:rsid w:val="00CC60F0"/>
    <w:rsid w:val="00CD146A"/>
    <w:rsid w:val="00CD39B6"/>
    <w:rsid w:val="00CD7F40"/>
    <w:rsid w:val="00CE0E3F"/>
    <w:rsid w:val="00CF0890"/>
    <w:rsid w:val="00D06D15"/>
    <w:rsid w:val="00D06F1F"/>
    <w:rsid w:val="00D14765"/>
    <w:rsid w:val="00D21611"/>
    <w:rsid w:val="00D3350F"/>
    <w:rsid w:val="00D35BFF"/>
    <w:rsid w:val="00D417B0"/>
    <w:rsid w:val="00D46D99"/>
    <w:rsid w:val="00D50524"/>
    <w:rsid w:val="00D5788F"/>
    <w:rsid w:val="00D94F1E"/>
    <w:rsid w:val="00DC164B"/>
    <w:rsid w:val="00DC2EDA"/>
    <w:rsid w:val="00DD1F25"/>
    <w:rsid w:val="00DD6225"/>
    <w:rsid w:val="00DE196D"/>
    <w:rsid w:val="00DE7304"/>
    <w:rsid w:val="00E079D5"/>
    <w:rsid w:val="00E20F8C"/>
    <w:rsid w:val="00E24F34"/>
    <w:rsid w:val="00E41C93"/>
    <w:rsid w:val="00E41E53"/>
    <w:rsid w:val="00E44570"/>
    <w:rsid w:val="00E62175"/>
    <w:rsid w:val="00E64E07"/>
    <w:rsid w:val="00E705C9"/>
    <w:rsid w:val="00E71B3D"/>
    <w:rsid w:val="00E97EB7"/>
    <w:rsid w:val="00EA3957"/>
    <w:rsid w:val="00EC0B5F"/>
    <w:rsid w:val="00EC6D8B"/>
    <w:rsid w:val="00ED7292"/>
    <w:rsid w:val="00EF3C4F"/>
    <w:rsid w:val="00EF5E9B"/>
    <w:rsid w:val="00F04D8A"/>
    <w:rsid w:val="00F077F4"/>
    <w:rsid w:val="00F11E0B"/>
    <w:rsid w:val="00F20AC4"/>
    <w:rsid w:val="00F3010F"/>
    <w:rsid w:val="00F307C5"/>
    <w:rsid w:val="00F3115F"/>
    <w:rsid w:val="00F37DAA"/>
    <w:rsid w:val="00F43202"/>
    <w:rsid w:val="00F5014E"/>
    <w:rsid w:val="00F65F45"/>
    <w:rsid w:val="00F712B0"/>
    <w:rsid w:val="00F73F9A"/>
    <w:rsid w:val="00F741B5"/>
    <w:rsid w:val="00F907FE"/>
    <w:rsid w:val="00F95A20"/>
    <w:rsid w:val="00F95D62"/>
    <w:rsid w:val="00F96F38"/>
    <w:rsid w:val="00FB7E07"/>
    <w:rsid w:val="00FE5104"/>
    <w:rsid w:val="00FF72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9252B"/>
  <w15:chartTrackingRefBased/>
  <w15:docId w15:val="{23F6BD81-FE00-4ABA-BA8B-1766308EF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066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66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6656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6656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6656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6656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6656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6656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6656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65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665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665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6656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6656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6656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6656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6656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66567"/>
    <w:rPr>
      <w:rFonts w:eastAsiaTheme="majorEastAsia" w:cstheme="majorBidi"/>
      <w:color w:val="272727" w:themeColor="text1" w:themeTint="D8"/>
    </w:rPr>
  </w:style>
  <w:style w:type="paragraph" w:styleId="Ttulo">
    <w:name w:val="Title"/>
    <w:basedOn w:val="Normal"/>
    <w:next w:val="Normal"/>
    <w:link w:val="TtuloCar"/>
    <w:uiPriority w:val="10"/>
    <w:qFormat/>
    <w:rsid w:val="00066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665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665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665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66567"/>
    <w:pPr>
      <w:spacing w:before="160"/>
      <w:jc w:val="center"/>
    </w:pPr>
    <w:rPr>
      <w:i/>
      <w:iCs/>
      <w:color w:val="404040" w:themeColor="text1" w:themeTint="BF"/>
    </w:rPr>
  </w:style>
  <w:style w:type="character" w:customStyle="1" w:styleId="CitaCar">
    <w:name w:val="Cita Car"/>
    <w:basedOn w:val="Fuentedeprrafopredeter"/>
    <w:link w:val="Cita"/>
    <w:uiPriority w:val="29"/>
    <w:rsid w:val="00066567"/>
    <w:rPr>
      <w:i/>
      <w:iCs/>
      <w:color w:val="404040" w:themeColor="text1" w:themeTint="BF"/>
    </w:rPr>
  </w:style>
  <w:style w:type="paragraph" w:styleId="Prrafodelista">
    <w:name w:val="List Paragraph"/>
    <w:basedOn w:val="Normal"/>
    <w:uiPriority w:val="34"/>
    <w:qFormat/>
    <w:rsid w:val="00066567"/>
    <w:pPr>
      <w:ind w:left="720"/>
      <w:contextualSpacing/>
    </w:pPr>
  </w:style>
  <w:style w:type="character" w:styleId="nfasisintenso">
    <w:name w:val="Intense Emphasis"/>
    <w:basedOn w:val="Fuentedeprrafopredeter"/>
    <w:uiPriority w:val="21"/>
    <w:qFormat/>
    <w:rsid w:val="00066567"/>
    <w:rPr>
      <w:i/>
      <w:iCs/>
      <w:color w:val="0F4761" w:themeColor="accent1" w:themeShade="BF"/>
    </w:rPr>
  </w:style>
  <w:style w:type="paragraph" w:styleId="Citadestacada">
    <w:name w:val="Intense Quote"/>
    <w:basedOn w:val="Normal"/>
    <w:next w:val="Normal"/>
    <w:link w:val="CitadestacadaCar"/>
    <w:uiPriority w:val="30"/>
    <w:qFormat/>
    <w:rsid w:val="00066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66567"/>
    <w:rPr>
      <w:i/>
      <w:iCs/>
      <w:color w:val="0F4761" w:themeColor="accent1" w:themeShade="BF"/>
    </w:rPr>
  </w:style>
  <w:style w:type="character" w:styleId="Referenciaintensa">
    <w:name w:val="Intense Reference"/>
    <w:basedOn w:val="Fuentedeprrafopredeter"/>
    <w:uiPriority w:val="32"/>
    <w:qFormat/>
    <w:rsid w:val="00066567"/>
    <w:rPr>
      <w:b/>
      <w:bCs/>
      <w:smallCaps/>
      <w:color w:val="0F4761" w:themeColor="accent1" w:themeShade="BF"/>
      <w:spacing w:val="5"/>
    </w:rPr>
  </w:style>
  <w:style w:type="character" w:styleId="Hipervnculo">
    <w:name w:val="Hyperlink"/>
    <w:basedOn w:val="Fuentedeprrafopredeter"/>
    <w:uiPriority w:val="99"/>
    <w:unhideWhenUsed/>
    <w:rsid w:val="000F0CB7"/>
    <w:rPr>
      <w:color w:val="467886" w:themeColor="hyperlink"/>
      <w:u w:val="single"/>
    </w:rPr>
  </w:style>
  <w:style w:type="character" w:styleId="Mencinsinresolver">
    <w:name w:val="Unresolved Mention"/>
    <w:basedOn w:val="Fuentedeprrafopredeter"/>
    <w:uiPriority w:val="99"/>
    <w:semiHidden/>
    <w:unhideWhenUsed/>
    <w:rsid w:val="000F0CB7"/>
    <w:rPr>
      <w:color w:val="605E5C"/>
      <w:shd w:val="clear" w:color="auto" w:fill="E1DFDD"/>
    </w:rPr>
  </w:style>
  <w:style w:type="paragraph" w:styleId="Encabezado">
    <w:name w:val="header"/>
    <w:basedOn w:val="Normal"/>
    <w:link w:val="EncabezadoCar"/>
    <w:uiPriority w:val="99"/>
    <w:unhideWhenUsed/>
    <w:rsid w:val="00527AF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27AF7"/>
  </w:style>
  <w:style w:type="paragraph" w:styleId="Piedepgina">
    <w:name w:val="footer"/>
    <w:basedOn w:val="Normal"/>
    <w:link w:val="PiedepginaCar"/>
    <w:uiPriority w:val="99"/>
    <w:unhideWhenUsed/>
    <w:rsid w:val="00527AF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27AF7"/>
  </w:style>
  <w:style w:type="character" w:styleId="Hipervnculovisitado">
    <w:name w:val="FollowedHyperlink"/>
    <w:basedOn w:val="Fuentedeprrafopredeter"/>
    <w:uiPriority w:val="99"/>
    <w:semiHidden/>
    <w:unhideWhenUsed/>
    <w:rsid w:val="00B8265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3947</Words>
  <Characters>21714</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Castillo Castañeda</dc:creator>
  <cp:keywords/>
  <dc:description/>
  <cp:lastModifiedBy>JOSE MANUEL ANDRES BAJO</cp:lastModifiedBy>
  <cp:revision>2</cp:revision>
  <dcterms:created xsi:type="dcterms:W3CDTF">2025-10-24T17:21:00Z</dcterms:created>
  <dcterms:modified xsi:type="dcterms:W3CDTF">2025-10-24T17:21:00Z</dcterms:modified>
</cp:coreProperties>
</file>