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1"/>
        <w:rPr>
          <w:rFonts w:ascii="Segoe UI" w:eastAsia="Times New Roman" w:hAnsi="Segoe UI" w:cs="Segoe UI"/>
          <w:b/>
          <w:bCs/>
          <w:color w:val="1D2125"/>
          <w:sz w:val="36"/>
          <w:szCs w:val="36"/>
          <w:lang w:eastAsia="es-ES"/>
        </w:rPr>
      </w:pPr>
      <w:bookmarkStart w:id="0" w:name="_GoBack"/>
      <w:bookmarkEnd w:id="0"/>
      <w:r w:rsidRPr="001B4BDF">
        <w:rPr>
          <w:rFonts w:ascii="Segoe UI" w:eastAsia="Times New Roman" w:hAnsi="Segoe UI" w:cs="Segoe UI"/>
          <w:b/>
          <w:bCs/>
          <w:color w:val="1D2125"/>
          <w:sz w:val="36"/>
          <w:szCs w:val="36"/>
          <w:lang w:eastAsia="es-ES"/>
        </w:rPr>
        <w:t>INTRODUCCIÓN AL DERECHO PÚBLICO - 900860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2"/>
        <w:rPr>
          <w:rFonts w:ascii="Segoe UI" w:eastAsia="Times New Roman" w:hAnsi="Segoe UI" w:cs="Segoe UI"/>
          <w:b/>
          <w:bCs/>
          <w:color w:val="1D2125"/>
          <w:sz w:val="27"/>
          <w:szCs w:val="27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7"/>
          <w:szCs w:val="27"/>
          <w:lang w:eastAsia="es-ES"/>
        </w:rPr>
        <w:t>Curso Académico 2025/26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2"/>
        <w:rPr>
          <w:rFonts w:ascii="Segoe UI" w:eastAsia="Times New Roman" w:hAnsi="Segoe UI" w:cs="Segoe UI"/>
          <w:b/>
          <w:bCs/>
          <w:color w:val="1D2125"/>
          <w:sz w:val="27"/>
          <w:szCs w:val="27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7"/>
          <w:szCs w:val="27"/>
          <w:lang w:eastAsia="es-ES"/>
        </w:rPr>
        <w:t>Datos Generales</w:t>
      </w:r>
    </w:p>
    <w:p w:rsidR="001B4BDF" w:rsidRPr="001B4BDF" w:rsidRDefault="001B4BDF" w:rsidP="00F1499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es-ES"/>
        </w:rPr>
        <w:t>Plan de estudios: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 DOBLE GRADO CC. POLÍTICAS - FILOSOFÍA</w:t>
      </w:r>
    </w:p>
    <w:p w:rsidR="001B4BDF" w:rsidRPr="001B4BDF" w:rsidRDefault="001B4BDF" w:rsidP="00F1499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es-ES"/>
        </w:rPr>
        <w:t>Carácter: 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Obligatoria</w:t>
      </w:r>
    </w:p>
    <w:p w:rsidR="001B4BDF" w:rsidRPr="001B4BDF" w:rsidRDefault="001B4BDF" w:rsidP="00F1499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es-ES"/>
        </w:rPr>
        <w:t>ECTS: 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6.0</w:t>
      </w:r>
    </w:p>
    <w:p w:rsidR="001B4BDF" w:rsidRPr="001B4BDF" w:rsidRDefault="001B4BDF" w:rsidP="00F1499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2º CURSO, PRIMER SEMESTRE.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2"/>
        <w:rPr>
          <w:rFonts w:ascii="Segoe UI" w:eastAsia="Times New Roman" w:hAnsi="Segoe UI" w:cs="Segoe UI"/>
          <w:b/>
          <w:bCs/>
          <w:color w:val="1D2125"/>
          <w:sz w:val="27"/>
          <w:szCs w:val="27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7"/>
          <w:szCs w:val="27"/>
          <w:lang w:eastAsia="es-ES"/>
        </w:rPr>
        <w:t>SINOPSIS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3"/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  <w:t>COMPETENCIAS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4"/>
        <w:rPr>
          <w:rFonts w:ascii="Segoe UI" w:eastAsia="Times New Roman" w:hAnsi="Segoe UI" w:cs="Segoe UI"/>
          <w:b/>
          <w:bCs/>
          <w:color w:val="1D2125"/>
          <w:sz w:val="20"/>
          <w:szCs w:val="20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0"/>
          <w:szCs w:val="20"/>
          <w:lang w:eastAsia="es-ES"/>
        </w:rPr>
        <w:t>Generales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CG1- CAPACIDAD DE ANÁLISIS Y SÍNTESIS.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CG2- DESTREZA PARA LA ORGANIZACIÓN Y LA PLANIFICACIÓN.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CG3- COMUNICACIÓN ORAL Y ESCRITA EN LENGUA NATIVA.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CG6- HABILIDAD EN LA RESOLUCIÓN DE PROBLEMAS Y PARA LA TOMA DE DECISIONES.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CG7- TRABAJO EN EQUIPO DE CARÁCTER INTERDISCIPLINAR.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CG9- RAZONAMIENTO CRÍTICO, COMPROMISO ÉTICO Y VOCACIÓN DE SERVICIO PÚBLICO.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CG10- ADAPTACIÓN A NUEVAS SITUACIONES, CREATIVIDAD Y LIDERAZGO.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CG11- APLICACIÓN DE LA PERSPECTIVA DE GÉNERO EN LAS DISTINTAS DISCIPLINAS.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4"/>
        <w:rPr>
          <w:rFonts w:ascii="Segoe UI" w:eastAsia="Times New Roman" w:hAnsi="Segoe UI" w:cs="Segoe UI"/>
          <w:b/>
          <w:bCs/>
          <w:color w:val="1D2125"/>
          <w:sz w:val="20"/>
          <w:szCs w:val="20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0"/>
          <w:szCs w:val="20"/>
          <w:lang w:eastAsia="es-ES"/>
        </w:rPr>
        <w:t>Específicas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CE3- COMPRENDER LAS ESTRUCTURA Y EL FUNCIONAMIENTO DE LOS SISTEMAS POLÍTICOS Y LAS INSTITUCIONES POLÍTICAS.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CE9- COMPRENDER EL MARCO LEGAL DE LA ACTIVIDAD QUE REALIZAN LOS ESTADOS Y LAS ADMINISTRACIONES PÚBLICAS.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3"/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  <w:t>- ACTIVIDADES DOCENTES: 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4"/>
        <w:rPr>
          <w:rFonts w:ascii="Segoe UI" w:eastAsia="Times New Roman" w:hAnsi="Segoe UI" w:cs="Segoe UI"/>
          <w:b/>
          <w:bCs/>
          <w:color w:val="1D2125"/>
          <w:sz w:val="20"/>
          <w:szCs w:val="20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0"/>
          <w:szCs w:val="20"/>
          <w:lang w:eastAsia="es-ES"/>
        </w:rPr>
        <w:t>Clases teóricas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DIRIGIDA FUNDAMENTALMENTEL A QUE EL PROFESOR TRANSMITA CONOCIMIENTOS ORDENADOS Y EL ESTUDIANTE RECIBA INFORMACIÓN ELABORADA SOBRE LA QUE SE LE GUÍA CON LECTURAS, PREGUNTAS-GUÍA, ETC.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4"/>
        <w:rPr>
          <w:rFonts w:ascii="Segoe UI" w:eastAsia="Times New Roman" w:hAnsi="Segoe UI" w:cs="Segoe UI"/>
          <w:b/>
          <w:bCs/>
          <w:color w:val="1D2125"/>
          <w:sz w:val="20"/>
          <w:szCs w:val="20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0"/>
          <w:szCs w:val="20"/>
          <w:lang w:eastAsia="es-ES"/>
        </w:rPr>
        <w:t>Clases prácticas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COLOQUIO/DEBATE: ACTIVIDAD EN QUE LOS MATERIALES SELECCIONADOS E INDICADOS POR EL PROFESOR SON TRABAJADOS POR LOS ESTUDIANTES Y QUE SERÁN OBJETO DE EXPLICACIÓN Y DISCUSIÓN EN EL COLOQUIO.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lastRenderedPageBreak/>
        <w:t>TRABAJOS INDIVIDUALES Y GRUPALES: ACTIVIDADA EN LA QUE LOS ESTUDIANTES DEBEN COMPROMETERSE A DEBATIR ENTRE ELLOS PARA FORMULAR UNA PROPUESTA, QUE DEBERÁN LLEVAR A CABO EN GURPO Y EXPONER POSTERIORMENTE.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4"/>
        <w:rPr>
          <w:rFonts w:ascii="Segoe UI" w:eastAsia="Times New Roman" w:hAnsi="Segoe UI" w:cs="Segoe UI"/>
          <w:b/>
          <w:bCs/>
          <w:color w:val="1D2125"/>
          <w:sz w:val="20"/>
          <w:szCs w:val="20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0"/>
          <w:szCs w:val="20"/>
          <w:lang w:eastAsia="es-ES"/>
        </w:rPr>
        <w:t>Otras actividades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TUTORÍAS: ACTIVIDAD OFRECIDA POR EL PROFESOR PARA QUE LOS ESTUDIANTES PUEDAN REALIZAR LAS CONSULTAS PERTINENTES Y DISCUTIR DIFERENTES ASPECTOS DE LAS ACTIVIDADES DE LAS MATERIAS, ASÍ COMO LA REVISIÓN DE EXÁMENES Y TRABAJOS PRÁCTICOS.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ACTIVIDADES FORMATIVAS INDIVIDUALES: LECTURA, CONSULTAS DE BASES DE DATOS, CONSULTAS BIBLIOGRÁFICAS, TRABAJO DE CAMPO, ESTUDIO PERSONAL, REDACCIÓN DE TRABAJOS E INFORMES, ASISTENCIA A CONFERENCIAS Y CONGRESOS, ETC.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3"/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  <w:t>PRESENCIALES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6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3"/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  <w:t>BREVE DESCRIPTOR: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Análisis de los principios básicos de articulación del Derecho en el Estado contemporáneo. Estudio de la estructura y funcionamiento del sistema jurídico. Exposición del marco legal de las instituciones políticas. Examen de las formas de producción del Derecho y su interrelación con el sistema político. Análisis de las formas de aplicación del Derecho y su interrelación con el sistema político.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3"/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  <w:t>OBJETIVOS: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 - Adquisición de conocimientos básicos sobre el funcionamiento del sistema jurídico, con especial atención al Derecho público.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- Adquisición de conocimientos sobre las principales categorías jurídicas.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- Estudio de las diferentes formas de producción del Derecho en el marco del sistema constitucional.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- Estudio de las formas de aplicación del Derecho.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- Adquisición de conocimientos sobre los sistemas jurídicos contemporáneos.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3"/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  <w:t>CONTENIDO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 1. INTRODUCCIÓN A LA TEORÍA DEL DERECHO Y A LA CIENCIA JURÍDICA. CONCEPTOS DE DERECHO Y ESTADO: EL ESTADO SOCIAL Y DEMOCRÁTICO DE DERECHO.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2. EL DERECHO COMO NORMA: TEORÍA DE LA NORMA JURÍDICA (JUSTICIA, VALIDEZ Y EFICACIA). EL DERECHO COMO SISTEMA: TEORÍA DEL ORDENAMIENTO JURÍDICO (UNIDAD, COHERENCIA, PLENITUD Y PLURALIDAD).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3. CONSTITUCIÓN: SIGNIFICANTE Y SIGNIFICADOS.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4. LA CONSTITUCIÓN COMO NORMA SUPREMA DEL ORDENAMIENTO JURÍDICO. FUNDAMENTOS DE LA CONSTITUCIÓN Y SUPERLEGALIDAD CONSTITUCIONAL.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5. SISTEMA(S) DE FUENTES DEL DERECHO.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lastRenderedPageBreak/>
        <w:t>6. PLURALIDAD DE ORDENAMIENTOS Y SUS RELACIONES. CREACIÓN, APLICACIÓN E INTERPRETACIÓN DEL DERECHO. 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3"/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  <w:t>*EVALUACIÓN: 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- EXÁMENES Y/O PRUEBAS DE EVALUACIÓN DEL CONJUNTO DE LOS CONOCIMIENTOS ADQUIRIDOS......30.0.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- ASISTENCIA Y PARTICIPACIÓN EN LAS CLASES TEÓRICAS Y PRÁCTICAS.....................................................15.0.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- EXPOSICIONES EN CLASE SOBRE CUESTIONES MONOGRÁFICAS..................................................................25.0.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- TRABAJOS Y PRÁCTICAS.........................................................................................................................................20.0.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>- LECTURAS COMPLEMENTARIAS............................................................................................................................10.0.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(Interpretación práctica evaluación: Tres BLOQUES: PRIMERO, EXAMEN/EVALUACIÓN CONJUNTO, 3 puntos; SEGUNDO, ASISTENCIA/PARTICIPACIÓN/TRABAJOS/PRÁCTICAS, 3.5 puntos; TERCERO, EXPOSICIÓN, ASISTENCIA/PARTICIPACIÓN/PRÁCTICAS SOBRE OBRA ELEGIDA, 3.5 puntos). </w:t>
      </w: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3"/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  <w:t>*BIBLIOGRAFÍA: </w:t>
      </w:r>
    </w:p>
    <w:p w:rsidR="001B4BDF" w:rsidRPr="00F14992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F14992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 xml:space="preserve">- Bobbio, Norberto, </w:t>
      </w:r>
      <w:r w:rsidRPr="00F14992">
        <w:rPr>
          <w:rFonts w:ascii="Segoe UI" w:eastAsia="Times New Roman" w:hAnsi="Segoe UI" w:cs="Segoe UI"/>
          <w:i/>
          <w:color w:val="1D2125"/>
          <w:sz w:val="23"/>
          <w:szCs w:val="23"/>
          <w:lang w:eastAsia="es-ES"/>
        </w:rPr>
        <w:t>Teoría General del Derecho</w:t>
      </w:r>
      <w:r w:rsidRPr="00F14992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, 1958/60.</w:t>
      </w:r>
    </w:p>
    <w:p w:rsidR="00F14992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F14992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- </w:t>
      </w:r>
      <w:r w:rsidR="00F14992">
        <w:rPr>
          <w:rFonts w:ascii="Segoe UI" w:eastAsia="Times New Roman" w:hAnsi="Segoe UI" w:cs="Segoe UI"/>
          <w:bCs/>
          <w:color w:val="1D2125"/>
          <w:sz w:val="23"/>
          <w:szCs w:val="23"/>
          <w:lang w:eastAsia="es-ES"/>
        </w:rPr>
        <w:t>Díez Picazo, Luis M</w:t>
      </w:r>
      <w:r w:rsidRPr="00F14992">
        <w:rPr>
          <w:rFonts w:ascii="Segoe UI" w:eastAsia="Times New Roman" w:hAnsi="Segoe UI" w:cs="Segoe UI"/>
          <w:bCs/>
          <w:color w:val="1D2125"/>
          <w:sz w:val="23"/>
          <w:szCs w:val="23"/>
          <w:lang w:eastAsia="es-ES"/>
        </w:rPr>
        <w:t>ª</w:t>
      </w:r>
      <w:r w:rsidR="00F14992">
        <w:rPr>
          <w:rFonts w:ascii="Segoe UI" w:eastAsia="Times New Roman" w:hAnsi="Segoe UI" w:cs="Segoe UI"/>
          <w:bCs/>
          <w:color w:val="1D2125"/>
          <w:sz w:val="23"/>
          <w:szCs w:val="23"/>
          <w:lang w:eastAsia="es-ES"/>
        </w:rPr>
        <w:t>,</w:t>
      </w:r>
      <w:r w:rsidRPr="00F14992">
        <w:rPr>
          <w:rFonts w:ascii="Segoe UI" w:eastAsia="Times New Roman" w:hAnsi="Segoe UI" w:cs="Segoe UI"/>
          <w:bCs/>
          <w:color w:val="1D2125"/>
          <w:sz w:val="23"/>
          <w:szCs w:val="23"/>
          <w:lang w:eastAsia="es-ES"/>
        </w:rPr>
        <w:t> </w:t>
      </w:r>
      <w:r w:rsidRPr="00F14992">
        <w:rPr>
          <w:rFonts w:ascii="Segoe UI" w:eastAsia="Times New Roman" w:hAnsi="Segoe UI" w:cs="Segoe UI"/>
          <w:bCs/>
          <w:i/>
          <w:iCs/>
          <w:color w:val="1D2125"/>
          <w:sz w:val="23"/>
          <w:szCs w:val="23"/>
          <w:lang w:eastAsia="es-ES"/>
        </w:rPr>
        <w:t>Ordenamiento Constitucional Español,</w:t>
      </w:r>
      <w:r w:rsidRPr="00F14992">
        <w:rPr>
          <w:rFonts w:ascii="Segoe UI" w:eastAsia="Times New Roman" w:hAnsi="Segoe UI" w:cs="Segoe UI"/>
          <w:bCs/>
          <w:color w:val="1D2125"/>
          <w:sz w:val="23"/>
          <w:szCs w:val="23"/>
          <w:lang w:eastAsia="es-ES"/>
        </w:rPr>
        <w:t> Tirant lo Blanch, Valencia, 2020. </w:t>
      </w:r>
      <w:r w:rsidRPr="00F14992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Libro completo en biblioteca virtual complutense: </w:t>
      </w:r>
      <w:r w:rsidRPr="00F14992">
        <w:rPr>
          <w:rFonts w:ascii="Segoe UI" w:eastAsia="Times New Roman" w:hAnsi="Segoe UI" w:cs="Segoe UI"/>
          <w:color w:val="1D2125"/>
          <w:sz w:val="23"/>
          <w:szCs w:val="23"/>
          <w:u w:val="single"/>
          <w:lang w:eastAsia="es-ES"/>
        </w:rPr>
        <w:t xml:space="preserve">&lt;&lt;Acceso en 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u w:val="single"/>
          <w:lang w:eastAsia="es-ES"/>
        </w:rPr>
        <w:t>línea&gt;&gt;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.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br/>
        <w:t xml:space="preserve">- Kelsen, Hans, </w:t>
      </w:r>
      <w:r w:rsidRPr="00F14992">
        <w:rPr>
          <w:rFonts w:ascii="Segoe UI" w:eastAsia="Times New Roman" w:hAnsi="Segoe UI" w:cs="Segoe UI"/>
          <w:i/>
          <w:color w:val="1D2125"/>
          <w:sz w:val="23"/>
          <w:szCs w:val="23"/>
          <w:lang w:eastAsia="es-ES"/>
        </w:rPr>
        <w:t>Teoría General del Derecho y del Estado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, 1945.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 xml:space="preserve">- Kelsen Hans, </w:t>
      </w:r>
      <w:r w:rsidRPr="00F14992">
        <w:rPr>
          <w:rFonts w:ascii="Segoe UI" w:eastAsia="Times New Roman" w:hAnsi="Segoe UI" w:cs="Segoe UI"/>
          <w:i/>
          <w:color w:val="1D2125"/>
          <w:sz w:val="23"/>
          <w:szCs w:val="23"/>
          <w:lang w:eastAsia="es-ES"/>
        </w:rPr>
        <w:t>Teoría Pura del Derecho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, 2ª ed., 1960.</w:t>
      </w:r>
    </w:p>
    <w:p w:rsidR="00F14992" w:rsidRDefault="00F14992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-  García Roca</w:t>
      </w:r>
      <w:r w:rsidR="001B4BDF"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, Javier, </w:t>
      </w:r>
      <w:r w:rsidR="001B4BDF" w:rsidRPr="001B4BDF">
        <w:rPr>
          <w:rFonts w:ascii="Segoe UI" w:eastAsia="Times New Roman" w:hAnsi="Segoe UI" w:cs="Segoe UI"/>
          <w:i/>
          <w:iCs/>
          <w:color w:val="1D2125"/>
          <w:sz w:val="23"/>
          <w:szCs w:val="23"/>
          <w:lang w:eastAsia="es-ES"/>
        </w:rPr>
        <w:t>Lecciones de derecho constitucional</w:t>
      </w:r>
      <w:r w:rsidR="001B4BDF"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 xml:space="preserve">, </w:t>
      </w:r>
      <w:proofErr w:type="spellStart"/>
      <w:r w:rsidR="001B4BDF"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Civitas</w:t>
      </w:r>
      <w:proofErr w:type="spellEnd"/>
      <w:r w:rsidR="001B4BDF"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-Aranzadi, Cizur Menor, 2023.</w:t>
      </w:r>
    </w:p>
    <w:p w:rsidR="00F14992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 xml:space="preserve">- </w:t>
      </w:r>
      <w:proofErr w:type="spellStart"/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Garrorena</w:t>
      </w:r>
      <w:proofErr w:type="spellEnd"/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 xml:space="preserve">, A., </w:t>
      </w:r>
      <w:r w:rsidRPr="00F14992">
        <w:rPr>
          <w:rFonts w:ascii="Segoe UI" w:eastAsia="Times New Roman" w:hAnsi="Segoe UI" w:cs="Segoe UI"/>
          <w:i/>
          <w:color w:val="1D2125"/>
          <w:sz w:val="23"/>
          <w:szCs w:val="23"/>
          <w:lang w:eastAsia="es-ES"/>
        </w:rPr>
        <w:t>Derecho constitucional: teoría de la Constitución y sistema de fuentes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, última edición.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 xml:space="preserve">- Grossi, Paolo, </w:t>
      </w:r>
      <w:r w:rsidRPr="00F14992">
        <w:rPr>
          <w:rFonts w:ascii="Segoe UI" w:eastAsia="Times New Roman" w:hAnsi="Segoe UI" w:cs="Segoe UI"/>
          <w:i/>
          <w:color w:val="1D2125"/>
          <w:sz w:val="23"/>
          <w:szCs w:val="23"/>
          <w:lang w:eastAsia="es-ES"/>
        </w:rPr>
        <w:t>La primera lección de Derecho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, 2006.</w:t>
      </w:r>
    </w:p>
    <w:p w:rsidR="00F14992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val="en-US" w:eastAsia="es-ES"/>
        </w:rPr>
      </w:pPr>
      <w:r w:rsidRPr="00F14992">
        <w:rPr>
          <w:rFonts w:ascii="Segoe UI" w:eastAsia="Times New Roman" w:hAnsi="Segoe UI" w:cs="Segoe UI"/>
          <w:color w:val="1D2125"/>
          <w:sz w:val="23"/>
          <w:szCs w:val="23"/>
          <w:lang w:val="en-US" w:eastAsia="es-ES"/>
        </w:rPr>
        <w:t xml:space="preserve">- Loughlin, Martin, </w:t>
      </w:r>
      <w:r w:rsidRPr="00F14992">
        <w:rPr>
          <w:rFonts w:ascii="Segoe UI" w:eastAsia="Times New Roman" w:hAnsi="Segoe UI" w:cs="Segoe UI"/>
          <w:i/>
          <w:color w:val="1D2125"/>
          <w:sz w:val="23"/>
          <w:szCs w:val="23"/>
          <w:lang w:val="en-US" w:eastAsia="es-ES"/>
        </w:rPr>
        <w:t>Foundations of Public Law</w:t>
      </w:r>
      <w:r w:rsidRPr="00F14992">
        <w:rPr>
          <w:rFonts w:ascii="Segoe UI" w:eastAsia="Times New Roman" w:hAnsi="Segoe UI" w:cs="Segoe UI"/>
          <w:color w:val="1D2125"/>
          <w:sz w:val="23"/>
          <w:szCs w:val="23"/>
          <w:lang w:val="en-US" w:eastAsia="es-ES"/>
        </w:rPr>
        <w:t>, 2010.</w:t>
      </w:r>
    </w:p>
    <w:p w:rsidR="001B4BDF" w:rsidRPr="00F14992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F14992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 xml:space="preserve">- Sanz Moreno, José A., </w:t>
      </w:r>
      <w:r w:rsidRPr="00F14992">
        <w:rPr>
          <w:rFonts w:ascii="Segoe UI" w:eastAsia="Times New Roman" w:hAnsi="Segoe UI" w:cs="Segoe UI"/>
          <w:i/>
          <w:color w:val="1D2125"/>
          <w:sz w:val="23"/>
          <w:szCs w:val="23"/>
          <w:lang w:eastAsia="es-ES"/>
        </w:rPr>
        <w:t>Ordenación jurídica y Estado postliberal: Hans Kelsen y Carl Schmitt</w:t>
      </w:r>
      <w:r w:rsidRPr="00F14992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,</w:t>
      </w:r>
      <w:r w:rsidR="00F14992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 xml:space="preserve"> Comares, Granada,</w:t>
      </w:r>
      <w:r w:rsidRPr="00F14992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 xml:space="preserve"> 2002.</w:t>
      </w:r>
    </w:p>
    <w:p w:rsidR="00F14992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 xml:space="preserve">- Sanz Moreno, José A., </w:t>
      </w:r>
      <w:r w:rsidRPr="00F14992">
        <w:rPr>
          <w:rFonts w:ascii="Segoe UI" w:eastAsia="Times New Roman" w:hAnsi="Segoe UI" w:cs="Segoe UI"/>
          <w:i/>
          <w:color w:val="1D2125"/>
          <w:sz w:val="23"/>
          <w:szCs w:val="23"/>
          <w:lang w:eastAsia="es-ES"/>
        </w:rPr>
        <w:t>Populismos contra Democracia, o de la autodeterminación en libertad</w:t>
      </w:r>
      <w:r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, Marcial Pons, Madrid, 2025.</w:t>
      </w:r>
    </w:p>
    <w:p w:rsidR="00F14992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 xml:space="preserve">- Schmitt, Carl, </w:t>
      </w:r>
      <w:r w:rsidRPr="00F14992">
        <w:rPr>
          <w:rFonts w:ascii="Segoe UI" w:eastAsia="Times New Roman" w:hAnsi="Segoe UI" w:cs="Segoe UI"/>
          <w:i/>
          <w:color w:val="1D2125"/>
          <w:sz w:val="23"/>
          <w:szCs w:val="23"/>
          <w:lang w:eastAsia="es-ES"/>
        </w:rPr>
        <w:t>Teoría de la Constitución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, 1928.</w:t>
      </w:r>
    </w:p>
    <w:p w:rsidR="00F14992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 xml:space="preserve">- Schmitt, Carl, </w:t>
      </w:r>
      <w:r w:rsidRPr="00F14992">
        <w:rPr>
          <w:rFonts w:ascii="Segoe UI" w:eastAsia="Times New Roman" w:hAnsi="Segoe UI" w:cs="Segoe UI"/>
          <w:i/>
          <w:color w:val="1D2125"/>
          <w:sz w:val="23"/>
          <w:szCs w:val="23"/>
          <w:lang w:eastAsia="es-ES"/>
        </w:rPr>
        <w:t>Sobre los tres modos de pensar la ciencia jurídica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, 1934.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 xml:space="preserve">- Serra Giménez, Francisco, </w:t>
      </w:r>
      <w:r w:rsidRPr="00F14992">
        <w:rPr>
          <w:rFonts w:ascii="Segoe UI" w:eastAsia="Times New Roman" w:hAnsi="Segoe UI" w:cs="Segoe UI"/>
          <w:i/>
          <w:color w:val="1D2125"/>
          <w:sz w:val="23"/>
          <w:szCs w:val="23"/>
          <w:lang w:eastAsia="es-ES"/>
        </w:rPr>
        <w:t>El derecho en la época constitucional: Un ensayo de interpretación</w:t>
      </w: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, 2013.</w:t>
      </w:r>
    </w:p>
    <w:p w:rsidR="00F14992" w:rsidRDefault="00F14992" w:rsidP="00F14992">
      <w:pPr>
        <w:shd w:val="clear" w:color="auto" w:fill="FFFFFF"/>
        <w:spacing w:after="100" w:afterAutospacing="1" w:line="240" w:lineRule="auto"/>
        <w:jc w:val="both"/>
        <w:outlineLvl w:val="3"/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</w:pPr>
    </w:p>
    <w:p w:rsidR="00F14992" w:rsidRDefault="00F14992" w:rsidP="00F14992">
      <w:pPr>
        <w:shd w:val="clear" w:color="auto" w:fill="FFFFFF"/>
        <w:spacing w:after="100" w:afterAutospacing="1" w:line="240" w:lineRule="auto"/>
        <w:jc w:val="both"/>
        <w:outlineLvl w:val="3"/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</w:pPr>
    </w:p>
    <w:p w:rsidR="001B4BDF" w:rsidRPr="001B4BDF" w:rsidRDefault="001B4BDF" w:rsidP="00F14992">
      <w:pPr>
        <w:shd w:val="clear" w:color="auto" w:fill="FFFFFF"/>
        <w:spacing w:after="100" w:afterAutospacing="1" w:line="240" w:lineRule="auto"/>
        <w:jc w:val="both"/>
        <w:outlineLvl w:val="3"/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</w:pPr>
      <w:r w:rsidRPr="001B4BDF">
        <w:rPr>
          <w:rFonts w:ascii="Segoe UI" w:eastAsia="Times New Roman" w:hAnsi="Segoe UI" w:cs="Segoe UI"/>
          <w:b/>
          <w:bCs/>
          <w:color w:val="1D2125"/>
          <w:sz w:val="24"/>
          <w:szCs w:val="24"/>
          <w:lang w:eastAsia="es-ES"/>
        </w:rPr>
        <w:lastRenderedPageBreak/>
        <w:t>*OTRA INFORMACIÓN RELEVANTE:</w:t>
      </w:r>
    </w:p>
    <w:p w:rsidR="001B4BDF" w:rsidRPr="001B4BDF" w:rsidRDefault="001B4BDF" w:rsidP="00F14992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</w:pPr>
      <w:r w:rsidRPr="001B4BDF">
        <w:rPr>
          <w:rFonts w:ascii="Segoe UI" w:eastAsia="Times New Roman" w:hAnsi="Segoe UI" w:cs="Segoe UI"/>
          <w:color w:val="1D2125"/>
          <w:sz w:val="23"/>
          <w:szCs w:val="23"/>
          <w:lang w:eastAsia="es-ES"/>
        </w:rPr>
        <w:t>TUTORÍAS: DESPACHO 3210, PRESENCIAL, martes, miércoles: 11-12.00H; otros horarios, previa petición: jasanzmo@ucm.es; o vía telefónica 913942943.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Grupos de la asignatura"/>
      </w:tblPr>
      <w:tblGrid>
        <w:gridCol w:w="943"/>
        <w:gridCol w:w="948"/>
        <w:gridCol w:w="2342"/>
        <w:gridCol w:w="490"/>
        <w:gridCol w:w="3258"/>
      </w:tblGrid>
      <w:tr w:rsidR="001B4BDF" w:rsidRPr="001B4BDF" w:rsidTr="001B4BDF">
        <w:trPr>
          <w:tblHeader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b/>
                <w:bCs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b/>
                <w:bCs/>
                <w:color w:val="1D2125"/>
                <w:sz w:val="23"/>
                <w:szCs w:val="23"/>
                <w:lang w:eastAsia="es-ES"/>
              </w:rPr>
              <w:t>Clases teóricas y/o prácticas</w:t>
            </w:r>
          </w:p>
        </w:tc>
      </w:tr>
      <w:tr w:rsidR="001B4BDF" w:rsidRPr="001B4BDF" w:rsidTr="001B4BDF">
        <w:trPr>
          <w:tblHeader/>
        </w:trPr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b/>
                <w:bCs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b/>
                <w:bCs/>
                <w:color w:val="1D2125"/>
                <w:sz w:val="23"/>
                <w:szCs w:val="23"/>
                <w:lang w:eastAsia="es-ES"/>
              </w:rPr>
              <w:t>Grupo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b/>
                <w:bCs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b/>
                <w:bCs/>
                <w:color w:val="1D2125"/>
                <w:sz w:val="23"/>
                <w:szCs w:val="23"/>
                <w:lang w:eastAsia="es-ES"/>
              </w:rPr>
              <w:t>Periodos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b/>
                <w:bCs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b/>
                <w:bCs/>
                <w:color w:val="1D2125"/>
                <w:sz w:val="23"/>
                <w:szCs w:val="23"/>
                <w:lang w:eastAsia="es-ES"/>
              </w:rPr>
              <w:t>Horarios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b/>
                <w:bCs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b/>
                <w:bCs/>
                <w:color w:val="1D2125"/>
                <w:sz w:val="23"/>
                <w:szCs w:val="23"/>
                <w:lang w:eastAsia="es-ES"/>
              </w:rPr>
              <w:t>Aula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b/>
                <w:bCs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b/>
                <w:bCs/>
                <w:color w:val="1D2125"/>
                <w:sz w:val="23"/>
                <w:szCs w:val="23"/>
                <w:lang w:eastAsia="es-ES"/>
              </w:rPr>
              <w:t>Profesor</w:t>
            </w:r>
          </w:p>
        </w:tc>
      </w:tr>
      <w:tr w:rsidR="001B4BDF" w:rsidRPr="001B4BDF" w:rsidTr="001B4BDF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GRUPO 2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martes 09:00 - 11:00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JOSE ANTONIO SANZ MORENO</w:t>
            </w:r>
          </w:p>
        </w:tc>
      </w:tr>
      <w:tr w:rsidR="001B4BDF" w:rsidRPr="001B4BDF" w:rsidTr="001B4BDF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miércoles 09:00 - 11:00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JOSE ANTONIO SANZ MORENO</w:t>
            </w:r>
          </w:p>
        </w:tc>
      </w:tr>
      <w:tr w:rsidR="001B4BDF" w:rsidRPr="001B4BDF" w:rsidTr="001B4BDF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 </w:t>
            </w:r>
          </w:p>
        </w:tc>
      </w:tr>
      <w:tr w:rsidR="001B4BDF" w:rsidRPr="001B4BDF" w:rsidTr="001B4BDF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4BDF" w:rsidRPr="001B4BDF" w:rsidRDefault="001B4BDF" w:rsidP="00F1499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</w:pPr>
            <w:r w:rsidRPr="001B4BDF">
              <w:rPr>
                <w:rFonts w:ascii="Segoe UI" w:eastAsia="Times New Roman" w:hAnsi="Segoe UI" w:cs="Segoe UI"/>
                <w:color w:val="1D2125"/>
                <w:sz w:val="23"/>
                <w:szCs w:val="23"/>
                <w:lang w:eastAsia="es-ES"/>
              </w:rPr>
              <w:t> </w:t>
            </w:r>
          </w:p>
        </w:tc>
      </w:tr>
    </w:tbl>
    <w:p w:rsidR="00F14992" w:rsidRDefault="00F14992" w:rsidP="00F14992">
      <w:pPr>
        <w:pStyle w:val="NormalWeb"/>
        <w:shd w:val="clear" w:color="auto" w:fill="FFFFFF"/>
        <w:spacing w:before="0" w:beforeAutospacing="0"/>
        <w:jc w:val="both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Profesor: José Antonio SANZ MORENO.</w:t>
      </w:r>
    </w:p>
    <w:p w:rsidR="00E816A7" w:rsidRDefault="00E816A7"/>
    <w:p w:rsidR="00F14992" w:rsidRDefault="00F14992"/>
    <w:sectPr w:rsidR="00F14992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52B4" w:rsidRDefault="009152B4" w:rsidP="001B4BDF">
      <w:pPr>
        <w:spacing w:after="0" w:line="240" w:lineRule="auto"/>
      </w:pPr>
      <w:r>
        <w:separator/>
      </w:r>
    </w:p>
  </w:endnote>
  <w:endnote w:type="continuationSeparator" w:id="0">
    <w:p w:rsidR="009152B4" w:rsidRDefault="009152B4" w:rsidP="001B4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1280146"/>
      <w:docPartObj>
        <w:docPartGallery w:val="Page Numbers (Bottom of Page)"/>
        <w:docPartUnique/>
      </w:docPartObj>
    </w:sdtPr>
    <w:sdtEndPr/>
    <w:sdtContent>
      <w:p w:rsidR="001B4BDF" w:rsidRDefault="001B4BDF">
        <w:pPr>
          <w:pStyle w:val="Piedepgina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es-ES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28575" t="19050" r="22225" b="8890"/>
                  <wp:wrapNone/>
                  <wp:docPr id="1" name="Cinta curvada hacia abaj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prstGeom prst="ellipseRibbon">
                            <a:avLst>
                              <a:gd name="adj1" fmla="val 25000"/>
                              <a:gd name="adj2" fmla="val 50000"/>
                              <a:gd name="adj3" fmla="val 12500"/>
                            </a:avLst>
                          </a:prstGeom>
                          <a:noFill/>
                          <a:ln w="9525">
                            <a:solidFill>
                              <a:srgbClr val="71A0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B4BDF" w:rsidRDefault="001B4BDF">
                              <w:pPr>
                                <w:jc w:val="center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F14992" w:rsidRPr="00F14992">
                                <w:rPr>
                                  <w:noProof/>
                                  <w:color w:val="5B9BD5" w:themeColor="accent1"/>
                                </w:rPr>
                                <w:t>4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  <v:formulas>
                    <v:f eqn="val #0"/>
                    <v:f eqn="val #1"/>
                    <v:f eqn="val #2"/>
                    <v:f eqn="val width"/>
                    <v:f eqn="val height"/>
                    <v:f eqn="prod width 1 8"/>
                    <v:f eqn="prod width 1 2"/>
                    <v:f eqn="prod width 7 8"/>
                    <v:f eqn="prod width 3 2"/>
                    <v:f eqn="sum 0 0 @6"/>
                    <v:f eqn="sum height 0 #2"/>
                    <v:f eqn="prod @10 30573 4096"/>
                    <v:f eqn="prod @11 2 1"/>
                    <v:f eqn="sum height 0 @12"/>
                    <v:f eqn="sum @11 #2 0"/>
                    <v:f eqn="sum @11 height #1"/>
                    <v:f eqn="sum height 0 #1"/>
                    <v:f eqn="prod @16 1 2"/>
                    <v:f eqn="sum @11 @17 0"/>
                    <v:f eqn="sum @14 #1 height"/>
                    <v:f eqn="sum #0 @5 0"/>
                    <v:f eqn="sum width 0 @20"/>
                    <v:f eqn="sum width 0 #0"/>
                    <v:f eqn="sum @6 0 #0"/>
                    <v:f eqn="ellipse @23 width @11"/>
                    <v:f eqn="sum @24 height @11"/>
                    <v:f eqn="sum @25 @11 @19"/>
                    <v:f eqn="sum #2 @11 @19"/>
                    <v:f eqn="prod @11 2391 32768"/>
                    <v:f eqn="sum @6 0 @20"/>
                    <v:f eqn="ellipse @29 width @11"/>
                    <v:f eqn="sum #1 @30 @11"/>
                    <v:f eqn="sum @25 #1 height"/>
                    <v:f eqn="sum height @30 @14"/>
                    <v:f eqn="sum @11 @14 0"/>
                    <v:f eqn="sum height 0 @34"/>
                    <v:f eqn="sum @35 @19 @11"/>
                    <v:f eqn="sum @10 @15 @11"/>
                    <v:f eqn="sum @35 @15 @11"/>
                    <v:f eqn="sum @28 @14 @18"/>
                    <v:f eqn="sum height 0 @39"/>
                    <v:f eqn="sum @19 0 @18"/>
                    <v:f eqn="prod @41 2 3"/>
                    <v:f eqn="sum #1 0 @42"/>
                    <v:f eqn="sum #2 0 @42"/>
                    <v:f eqn="min @44 20925"/>
                    <v:f eqn="prod width 3 8"/>
                    <v:f eqn="sum @46 0 4"/>
                  </v:formulas>
                  <v:path o:extrusionok="f" o:connecttype="custom" o:connectlocs="@6,@1;@5,@40;@6,@4;@7,@40" o:connectangles="270,180,90,0" textboxrect="@0,@1,@22,@25"/>
                  <v:handles>
                    <v:h position="#0,bottomRight" xrange="@5,@47"/>
                    <v:h position="center,#1" yrange="@10,@43"/>
                    <v:h position="topLeft,#2" yrange="@27,@45"/>
                  </v:handles>
                  <o:complex v:ext="view"/>
                </v:shapetype>
                <v:shape id="Cinta curvada hacia abajo 1" o:spid="_x0000_s1026" type="#_x0000_t107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" filled="f" fillcolor="#17365d" strokecolor="#71a0dc">
                  <v:textbox>
                    <w:txbxContent>
                      <w:p w:rsidR="001B4BDF" w:rsidRDefault="001B4BDF">
                        <w:pPr>
                          <w:jc w:val="center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F14992" w:rsidRPr="00F14992">
                          <w:rPr>
                            <w:noProof/>
                            <w:color w:val="5B9BD5" w:themeColor="accent1"/>
                          </w:rPr>
                          <w:t>4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52B4" w:rsidRDefault="009152B4" w:rsidP="001B4BDF">
      <w:pPr>
        <w:spacing w:after="0" w:line="240" w:lineRule="auto"/>
      </w:pPr>
      <w:r>
        <w:separator/>
      </w:r>
    </w:p>
  </w:footnote>
  <w:footnote w:type="continuationSeparator" w:id="0">
    <w:p w:rsidR="009152B4" w:rsidRDefault="009152B4" w:rsidP="001B4B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F37793"/>
    <w:multiLevelType w:val="multilevel"/>
    <w:tmpl w:val="08922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BDF"/>
    <w:rsid w:val="001B4BDF"/>
    <w:rsid w:val="003D4F26"/>
    <w:rsid w:val="003F78E6"/>
    <w:rsid w:val="00835815"/>
    <w:rsid w:val="009152B4"/>
    <w:rsid w:val="00E816A7"/>
    <w:rsid w:val="00F1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3A14166-82D4-4D36-B098-09E4BB189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1B4B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Ttulo3">
    <w:name w:val="heading 3"/>
    <w:basedOn w:val="Normal"/>
    <w:link w:val="Ttulo3Car"/>
    <w:uiPriority w:val="9"/>
    <w:qFormat/>
    <w:rsid w:val="001B4B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tulo4">
    <w:name w:val="heading 4"/>
    <w:basedOn w:val="Normal"/>
    <w:link w:val="Ttulo4Car"/>
    <w:uiPriority w:val="9"/>
    <w:qFormat/>
    <w:rsid w:val="001B4BD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styleId="Ttulo5">
    <w:name w:val="heading 5"/>
    <w:basedOn w:val="Normal"/>
    <w:link w:val="Ttulo5Car"/>
    <w:uiPriority w:val="9"/>
    <w:qFormat/>
    <w:rsid w:val="001B4BD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1B4BDF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1B4BDF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B4BDF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B4BDF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styleId="Textoennegrita">
    <w:name w:val="Strong"/>
    <w:basedOn w:val="Fuentedeprrafopredeter"/>
    <w:uiPriority w:val="22"/>
    <w:qFormat/>
    <w:rsid w:val="001B4BDF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1B4B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4BDF"/>
  </w:style>
  <w:style w:type="paragraph" w:styleId="Piedepgina">
    <w:name w:val="footer"/>
    <w:basedOn w:val="Normal"/>
    <w:link w:val="PiedepginaCar"/>
    <w:uiPriority w:val="99"/>
    <w:unhideWhenUsed/>
    <w:rsid w:val="001B4B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4BDF"/>
  </w:style>
  <w:style w:type="paragraph" w:styleId="NormalWeb">
    <w:name w:val="Normal (Web)"/>
    <w:basedOn w:val="Normal"/>
    <w:uiPriority w:val="99"/>
    <w:semiHidden/>
    <w:unhideWhenUsed/>
    <w:rsid w:val="00F14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94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0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52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3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CB063-F493-4148-8F83-BE21C1AC6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930</Words>
  <Characters>5115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JOSE MANUEL ANDRES BAJO</cp:lastModifiedBy>
  <cp:revision>2</cp:revision>
  <dcterms:created xsi:type="dcterms:W3CDTF">2025-10-22T16:53:00Z</dcterms:created>
  <dcterms:modified xsi:type="dcterms:W3CDTF">2025-10-22T16:53:00Z</dcterms:modified>
</cp:coreProperties>
</file>