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A8A96" w14:textId="37AF3C60" w:rsidR="0010492F" w:rsidRPr="00407E1B" w:rsidRDefault="0010492F" w:rsidP="0010492F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407E1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María </w:t>
      </w:r>
      <w:r w:rsidR="003B4DE0" w:rsidRPr="00407E1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Rosa</w:t>
      </w:r>
      <w:r w:rsidRPr="00407E1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Pr="00407E1B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Gálvez</w:t>
      </w:r>
      <w:r w:rsidRPr="00407E1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="003B4DE0" w:rsidRPr="00407E1B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(Málaga, 1768 – Madrid, 1806) </w:t>
      </w:r>
    </w:p>
    <w:p w14:paraId="69E34D7E" w14:textId="39B5BDD0" w:rsidR="0010492F" w:rsidRDefault="00407E1B" w:rsidP="0010492F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6E69B4A1" wp14:editId="0F6CAD3A">
            <wp:extent cx="2288005" cy="2849245"/>
            <wp:effectExtent l="0" t="0" r="0" b="8255"/>
            <wp:docPr id="561883377" name="Imagen 1" descr="María Rosa Gálvez, excepcional dramaturga del siglo XVIII | DF Diario  Femin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ía Rosa Gálvez, excepcional dramaturga del siglo XVIII | DF Diario  Feminist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819" cy="286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E02A5" w14:textId="77777777" w:rsidR="00F762BF" w:rsidRPr="00D11F92" w:rsidRDefault="00F762BF" w:rsidP="0010492F">
      <w:pPr>
        <w:jc w:val="center"/>
        <w:rPr>
          <w:rFonts w:ascii="Garamond" w:hAnsi="Garamond"/>
          <w:smallCaps/>
        </w:rPr>
      </w:pPr>
    </w:p>
    <w:p w14:paraId="5020D308" w14:textId="77777777" w:rsidR="0010492F" w:rsidRPr="00D11F92" w:rsidRDefault="0010492F" w:rsidP="0010492F">
      <w:pPr>
        <w:jc w:val="center"/>
        <w:rPr>
          <w:rFonts w:ascii="Garamond" w:hAnsi="Garamond"/>
          <w:smallCaps/>
        </w:rPr>
      </w:pPr>
      <w:r w:rsidRPr="00AC071E">
        <w:rPr>
          <w:rFonts w:ascii="Garamond" w:hAnsi="Garamond"/>
          <w:b/>
          <w:bCs/>
          <w:smallCaps/>
        </w:rPr>
        <w:t>Poesía</w:t>
      </w:r>
    </w:p>
    <w:p w14:paraId="164CC834" w14:textId="7E36D3D2" w:rsidR="0010492F" w:rsidRPr="00CF633C" w:rsidRDefault="00FA0671" w:rsidP="0010492F">
      <w:pPr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3D910FA1" wp14:editId="38B4DDC1">
            <wp:simplePos x="0" y="0"/>
            <wp:positionH relativeFrom="column">
              <wp:posOffset>749503</wp:posOffset>
            </wp:positionH>
            <wp:positionV relativeFrom="paragraph">
              <wp:posOffset>495300</wp:posOffset>
            </wp:positionV>
            <wp:extent cx="962025" cy="962025"/>
            <wp:effectExtent l="0" t="0" r="9525" b="9525"/>
            <wp:wrapNone/>
            <wp:docPr id="14660008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492F">
        <w:rPr>
          <w:rFonts w:ascii="Garamond" w:hAnsi="Garamond"/>
          <w:smallCaps/>
        </w:rPr>
        <w:t>Gálvez</w:t>
      </w:r>
      <w:r w:rsidR="0010492F" w:rsidRPr="00CF633C">
        <w:rPr>
          <w:rFonts w:ascii="Garamond" w:hAnsi="Garamond"/>
        </w:rPr>
        <w:t xml:space="preserve">, </w:t>
      </w:r>
      <w:r w:rsidR="0010492F">
        <w:rPr>
          <w:rFonts w:ascii="Garamond" w:hAnsi="Garamond"/>
        </w:rPr>
        <w:t xml:space="preserve">María </w:t>
      </w:r>
      <w:r w:rsidR="003B4DE0">
        <w:rPr>
          <w:rFonts w:ascii="Garamond" w:hAnsi="Garamond"/>
        </w:rPr>
        <w:t>Ros</w:t>
      </w:r>
      <w:r w:rsidR="0010492F">
        <w:rPr>
          <w:rFonts w:ascii="Garamond" w:hAnsi="Garamond"/>
        </w:rPr>
        <w:t>a</w:t>
      </w:r>
      <w:r w:rsidR="0010492F" w:rsidRPr="00CF633C">
        <w:rPr>
          <w:rFonts w:ascii="Garamond" w:hAnsi="Garamond"/>
        </w:rPr>
        <w:t xml:space="preserve">. </w:t>
      </w:r>
      <w:r w:rsidR="0010492F" w:rsidRPr="0010492F">
        <w:rPr>
          <w:rFonts w:ascii="Garamond" w:hAnsi="Garamond"/>
          <w:b/>
          <w:bCs/>
          <w:i/>
          <w:iCs/>
        </w:rPr>
        <w:t>Obras poéticas de Doña María Rosa Gálvez de Cabrera</w:t>
      </w:r>
      <w:r w:rsidR="0010492F">
        <w:rPr>
          <w:rFonts w:ascii="Garamond" w:hAnsi="Garamond"/>
        </w:rPr>
        <w:t xml:space="preserve">. </w:t>
      </w:r>
      <w:r w:rsidR="0010492F" w:rsidRPr="0010492F">
        <w:rPr>
          <w:rFonts w:ascii="Garamond" w:hAnsi="Garamond"/>
        </w:rPr>
        <w:t>Madrid</w:t>
      </w:r>
      <w:r w:rsidR="0010492F">
        <w:rPr>
          <w:rFonts w:ascii="Garamond" w:hAnsi="Garamond"/>
        </w:rPr>
        <w:t>. E</w:t>
      </w:r>
      <w:r w:rsidR="0010492F" w:rsidRPr="0010492F">
        <w:rPr>
          <w:rFonts w:ascii="Garamond" w:hAnsi="Garamond"/>
        </w:rPr>
        <w:t>n la Imprenta Real</w:t>
      </w:r>
      <w:r w:rsidR="0010492F">
        <w:rPr>
          <w:rFonts w:ascii="Garamond" w:hAnsi="Garamond"/>
        </w:rPr>
        <w:t>.</w:t>
      </w:r>
      <w:r w:rsidR="0010492F" w:rsidRPr="0010492F">
        <w:rPr>
          <w:rFonts w:ascii="Garamond" w:hAnsi="Garamond"/>
        </w:rPr>
        <w:t xml:space="preserve"> 1804.</w:t>
      </w:r>
      <w:r w:rsidR="0010492F">
        <w:rPr>
          <w:rFonts w:ascii="Garamond" w:hAnsi="Garamond"/>
        </w:rPr>
        <w:t xml:space="preserve"> Tomo III. 263 </w:t>
      </w:r>
      <w:r w:rsidR="0010492F" w:rsidRPr="00CF633C">
        <w:rPr>
          <w:rFonts w:ascii="Garamond" w:hAnsi="Garamond"/>
        </w:rPr>
        <w:t>págs.</w:t>
      </w:r>
      <w:r w:rsidR="0010492F">
        <w:rPr>
          <w:rFonts w:ascii="Garamond" w:hAnsi="Garamond"/>
        </w:rPr>
        <w:t xml:space="preserve"> </w:t>
      </w:r>
    </w:p>
    <w:p w14:paraId="68599CFD" w14:textId="3045BB7F" w:rsidR="0010492F" w:rsidRDefault="0010492F" w:rsidP="0010492F">
      <w:pPr>
        <w:ind w:left="3119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10492F">
        <w:rPr>
          <w:rFonts w:ascii="Garamond" w:hAnsi="Garamond"/>
        </w:rPr>
        <w:t>Biblioteca Histórica Fondo Antiguo (F)-Préstamo protegido especial</w:t>
      </w:r>
      <w:r>
        <w:rPr>
          <w:rFonts w:ascii="Garamond" w:hAnsi="Garamond"/>
        </w:rPr>
        <w:t xml:space="preserve">, </w:t>
      </w:r>
      <w:r w:rsidRPr="0010492F">
        <w:rPr>
          <w:rFonts w:ascii="Garamond" w:hAnsi="Garamond"/>
        </w:rPr>
        <w:t>BH FLL 29268</w:t>
      </w:r>
    </w:p>
    <w:p w14:paraId="3A38631E" w14:textId="77777777" w:rsidR="00FA0671" w:rsidRDefault="0010492F" w:rsidP="0010492F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>(Si no se puede exponer, se podría poner fotocopia de la portada y algunas páginas)</w:t>
      </w:r>
    </w:p>
    <w:p w14:paraId="6C99C0F7" w14:textId="54EB9CCF" w:rsidR="0010492F" w:rsidRDefault="0010492F" w:rsidP="0010492F">
      <w:pPr>
        <w:ind w:left="3119"/>
        <w:contextualSpacing/>
        <w:jc w:val="both"/>
        <w:rPr>
          <w:rFonts w:ascii="Garamond" w:hAnsi="Garamond"/>
        </w:rPr>
      </w:pPr>
      <w:hyperlink r:id="rId6" w:history="1">
        <w:r w:rsidRPr="006E132D">
          <w:rPr>
            <w:rStyle w:val="Hipervnculo"/>
            <w:rFonts w:ascii="Garamond" w:hAnsi="Garamond"/>
          </w:rPr>
          <w:t>https://ucm.on.worldcat.org/oclc/1355658970</w:t>
        </w:r>
      </w:hyperlink>
      <w:r>
        <w:rPr>
          <w:rFonts w:ascii="Garamond" w:hAnsi="Garamond"/>
        </w:rPr>
        <w:t xml:space="preserve"> </w:t>
      </w:r>
    </w:p>
    <w:p w14:paraId="4F3E5BE0" w14:textId="21AE651A" w:rsidR="0010492F" w:rsidRDefault="0010492F" w:rsidP="0010492F">
      <w:pPr>
        <w:jc w:val="center"/>
        <w:rPr>
          <w:rFonts w:ascii="Garamond" w:hAnsi="Garamond"/>
          <w:smallCaps/>
        </w:rPr>
      </w:pPr>
    </w:p>
    <w:p w14:paraId="56E47D23" w14:textId="1660570E" w:rsidR="0010492F" w:rsidRPr="00D11F92" w:rsidRDefault="0010492F" w:rsidP="0010492F">
      <w:pPr>
        <w:jc w:val="center"/>
        <w:rPr>
          <w:rFonts w:ascii="Garamond" w:hAnsi="Garamond"/>
          <w:smallCaps/>
        </w:rPr>
      </w:pPr>
      <w:r w:rsidRPr="003B4DE0">
        <w:rPr>
          <w:rFonts w:ascii="Garamond" w:hAnsi="Garamond"/>
          <w:b/>
          <w:bCs/>
          <w:smallCaps/>
        </w:rPr>
        <w:t>Teatro</w:t>
      </w:r>
    </w:p>
    <w:p w14:paraId="652700B8" w14:textId="3B3A79FB" w:rsidR="0010492F" w:rsidRPr="00CF633C" w:rsidRDefault="0010492F" w:rsidP="0010492F">
      <w:pPr>
        <w:jc w:val="both"/>
        <w:rPr>
          <w:rFonts w:ascii="Garamond" w:hAnsi="Garamond"/>
        </w:rPr>
      </w:pPr>
      <w:r>
        <w:rPr>
          <w:rFonts w:ascii="Garamond" w:hAnsi="Garamond"/>
          <w:smallCaps/>
        </w:rPr>
        <w:t>Gálvez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 xml:space="preserve">María </w:t>
      </w:r>
      <w:r w:rsidR="003B4DE0">
        <w:rPr>
          <w:rFonts w:ascii="Garamond" w:hAnsi="Garamond"/>
        </w:rPr>
        <w:t>Ro</w:t>
      </w:r>
      <w:r>
        <w:rPr>
          <w:rFonts w:ascii="Garamond" w:hAnsi="Garamond"/>
        </w:rPr>
        <w:t>sa</w:t>
      </w:r>
      <w:r w:rsidRPr="00CF633C">
        <w:rPr>
          <w:rFonts w:ascii="Garamond" w:hAnsi="Garamond"/>
        </w:rPr>
        <w:t xml:space="preserve">. </w:t>
      </w:r>
      <w:r w:rsidRPr="0010492F">
        <w:rPr>
          <w:rFonts w:ascii="Garamond" w:hAnsi="Garamond"/>
          <w:b/>
          <w:bCs/>
          <w:i/>
          <w:iCs/>
        </w:rPr>
        <w:t>Ali-Bek: tragedia original en cinco actos</w:t>
      </w:r>
      <w:r>
        <w:rPr>
          <w:rFonts w:ascii="Garamond" w:hAnsi="Garamond"/>
        </w:rPr>
        <w:t xml:space="preserve">. </w:t>
      </w:r>
      <w:r w:rsidRPr="0010492F">
        <w:rPr>
          <w:rFonts w:ascii="Garamond" w:hAnsi="Garamond"/>
        </w:rPr>
        <w:t>Madrid</w:t>
      </w:r>
      <w:r>
        <w:rPr>
          <w:rFonts w:ascii="Garamond" w:hAnsi="Garamond"/>
        </w:rPr>
        <w:t>. E</w:t>
      </w:r>
      <w:r w:rsidRPr="0010492F">
        <w:rPr>
          <w:rFonts w:ascii="Garamond" w:hAnsi="Garamond"/>
        </w:rPr>
        <w:t>n</w:t>
      </w:r>
      <w:r>
        <w:rPr>
          <w:rFonts w:ascii="Garamond" w:hAnsi="Garamond"/>
        </w:rPr>
        <w:t xml:space="preserve"> </w:t>
      </w:r>
      <w:r w:rsidRPr="0010492F">
        <w:rPr>
          <w:rFonts w:ascii="Garamond" w:hAnsi="Garamond"/>
        </w:rPr>
        <w:t>la Oficina de Benito García y Compañía</w:t>
      </w:r>
      <w:r>
        <w:rPr>
          <w:rFonts w:ascii="Garamond" w:hAnsi="Garamond"/>
        </w:rPr>
        <w:t>.</w:t>
      </w:r>
      <w:r w:rsidRPr="0010492F">
        <w:rPr>
          <w:rFonts w:ascii="Garamond" w:hAnsi="Garamond"/>
        </w:rPr>
        <w:t xml:space="preserve"> 180</w:t>
      </w:r>
      <w:r>
        <w:rPr>
          <w:rFonts w:ascii="Garamond" w:hAnsi="Garamond"/>
        </w:rPr>
        <w:t xml:space="preserve">1.  </w:t>
      </w:r>
      <w:r w:rsidRPr="00CF633C">
        <w:rPr>
          <w:rFonts w:ascii="Garamond" w:hAnsi="Garamond"/>
        </w:rPr>
        <w:t>págs.</w:t>
      </w:r>
      <w:r>
        <w:rPr>
          <w:rFonts w:ascii="Garamond" w:hAnsi="Garamond"/>
        </w:rPr>
        <w:t xml:space="preserve"> </w:t>
      </w:r>
    </w:p>
    <w:p w14:paraId="52737F10" w14:textId="4D666E0C" w:rsidR="0010492F" w:rsidRDefault="00FA0671" w:rsidP="0010492F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2E09991E" wp14:editId="72B584CF">
            <wp:simplePos x="0" y="0"/>
            <wp:positionH relativeFrom="column">
              <wp:posOffset>748665</wp:posOffset>
            </wp:positionH>
            <wp:positionV relativeFrom="paragraph">
              <wp:posOffset>4115</wp:posOffset>
            </wp:positionV>
            <wp:extent cx="965200" cy="965200"/>
            <wp:effectExtent l="0" t="0" r="6350" b="6350"/>
            <wp:wrapNone/>
            <wp:docPr id="54657669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492F" w:rsidRPr="00CF633C">
        <w:rPr>
          <w:rFonts w:ascii="Garamond" w:hAnsi="Garamond"/>
        </w:rPr>
        <w:t xml:space="preserve">Localización: </w:t>
      </w:r>
      <w:r w:rsidR="0010492F" w:rsidRPr="0010492F">
        <w:rPr>
          <w:rFonts w:ascii="Garamond" w:hAnsi="Garamond"/>
        </w:rPr>
        <w:t>Biblioteca de Filología-Hispánicas y Románicas María Zambrano</w:t>
      </w:r>
      <w:r w:rsidR="0010492F">
        <w:rPr>
          <w:rFonts w:ascii="Garamond" w:hAnsi="Garamond"/>
        </w:rPr>
        <w:t>, p</w:t>
      </w:r>
      <w:r w:rsidR="0010492F" w:rsidRPr="0010492F">
        <w:rPr>
          <w:rFonts w:ascii="Garamond" w:hAnsi="Garamond"/>
        </w:rPr>
        <w:t>réstamo para sala</w:t>
      </w:r>
      <w:r w:rsidR="0010492F">
        <w:rPr>
          <w:rFonts w:ascii="Garamond" w:hAnsi="Garamond"/>
        </w:rPr>
        <w:t xml:space="preserve">, </w:t>
      </w:r>
      <w:r w:rsidR="0010492F" w:rsidRPr="0010492F">
        <w:rPr>
          <w:rFonts w:ascii="Garamond" w:hAnsi="Garamond"/>
        </w:rPr>
        <w:t xml:space="preserve">CT 82-2VAR,25 </w:t>
      </w:r>
    </w:p>
    <w:p w14:paraId="1932D20D" w14:textId="77777777" w:rsidR="00FA0671" w:rsidRDefault="0010492F" w:rsidP="0010492F">
      <w:pPr>
        <w:ind w:left="3119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>(Si no se puede exponer, se podría poner fotocopia de la portada y algunas páginas)</w:t>
      </w:r>
    </w:p>
    <w:p w14:paraId="30188BBA" w14:textId="18691395" w:rsidR="0010492F" w:rsidRDefault="0010492F" w:rsidP="0010492F">
      <w:pPr>
        <w:ind w:left="3119"/>
        <w:contextualSpacing/>
        <w:jc w:val="both"/>
        <w:rPr>
          <w:rFonts w:ascii="Garamond" w:hAnsi="Garamond"/>
        </w:rPr>
      </w:pPr>
      <w:hyperlink r:id="rId8" w:history="1">
        <w:r w:rsidRPr="006E132D">
          <w:rPr>
            <w:rStyle w:val="Hipervnculo"/>
            <w:rFonts w:ascii="Garamond" w:hAnsi="Garamond"/>
          </w:rPr>
          <w:t>https://ucm.on.worldcat.org/oclc/1025230939</w:t>
        </w:r>
      </w:hyperlink>
      <w:r>
        <w:rPr>
          <w:rFonts w:ascii="Garamond" w:hAnsi="Garamond"/>
        </w:rPr>
        <w:t xml:space="preserve"> </w:t>
      </w:r>
    </w:p>
    <w:p w14:paraId="616FB479" w14:textId="77777777" w:rsidR="0010492F" w:rsidRDefault="0010492F" w:rsidP="0010492F">
      <w:pPr>
        <w:jc w:val="both"/>
        <w:rPr>
          <w:rFonts w:ascii="Garamond" w:hAnsi="Garamond"/>
        </w:rPr>
      </w:pPr>
    </w:p>
    <w:p w14:paraId="64402473" w14:textId="618CC4AE" w:rsidR="0010492F" w:rsidRPr="00CF633C" w:rsidRDefault="0010492F" w:rsidP="0010492F">
      <w:pPr>
        <w:ind w:left="3119"/>
        <w:jc w:val="both"/>
        <w:rPr>
          <w:rFonts w:ascii="Garamond" w:hAnsi="Garamond"/>
        </w:rPr>
      </w:pPr>
    </w:p>
    <w:p w14:paraId="1208A794" w14:textId="77777777" w:rsidR="001A7F95" w:rsidRDefault="001A7F95"/>
    <w:sectPr w:rsidR="001A7F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5"/>
    <w:rsid w:val="000A11C4"/>
    <w:rsid w:val="0010492F"/>
    <w:rsid w:val="001A7F95"/>
    <w:rsid w:val="003B4DE0"/>
    <w:rsid w:val="00407E1B"/>
    <w:rsid w:val="00520390"/>
    <w:rsid w:val="00884F36"/>
    <w:rsid w:val="009F7EA0"/>
    <w:rsid w:val="00AC071E"/>
    <w:rsid w:val="00B85277"/>
    <w:rsid w:val="00DB5257"/>
    <w:rsid w:val="00F762BF"/>
    <w:rsid w:val="00FA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7DAF"/>
  <w15:chartTrackingRefBased/>
  <w15:docId w15:val="{FCDAEE89-91E6-4077-B922-0B8AC0F5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92F"/>
  </w:style>
  <w:style w:type="paragraph" w:styleId="Ttulo1">
    <w:name w:val="heading 1"/>
    <w:basedOn w:val="Normal"/>
    <w:next w:val="Normal"/>
    <w:link w:val="Ttulo1Car"/>
    <w:uiPriority w:val="9"/>
    <w:qFormat/>
    <w:rsid w:val="001A7F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7F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7F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7F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7F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7F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7F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7F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7F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7F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7F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7F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7F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7F9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7F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7F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7F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7F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7F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7F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7F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7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7F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7F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7F9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7F9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7F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7F9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7F95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10492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49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m.on.worldcat.org/oclc/1025230939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cm.on.worldcat.org/oclc/1355658970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4</cp:revision>
  <dcterms:created xsi:type="dcterms:W3CDTF">2026-01-27T00:28:00Z</dcterms:created>
  <dcterms:modified xsi:type="dcterms:W3CDTF">2026-03-02T00:31:00Z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2026-01-27T00:13:41Z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d4daf314-c690-4b97-8344-3d2159535c3b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